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0"/>
        <w:gridCol w:w="4800"/>
        <w:gridCol w:w="4800"/>
      </w:tblGrid>
      <w:tr w:rsidR="00F159B2" w:rsidRPr="008E5222" w:rsidTr="00C51EE2">
        <w:trPr>
          <w:trHeight w:val="287"/>
        </w:trPr>
        <w:tc>
          <w:tcPr>
            <w:tcW w:w="4800" w:type="dxa"/>
          </w:tcPr>
          <w:p w:rsidR="00F159B2" w:rsidRPr="008E5222" w:rsidRDefault="00F159B2" w:rsidP="00FC613F">
            <w:pPr>
              <w:spacing w:after="0"/>
              <w:rPr>
                <w:rFonts w:ascii="Calibri" w:hAnsi="Calibri" w:cstheme="minorHAnsi"/>
                <w:b/>
                <w:spacing w:val="-6"/>
                <w:kern w:val="2"/>
                <w:szCs w:val="20"/>
              </w:rPr>
            </w:pPr>
            <w:bookmarkStart w:id="0" w:name="_GoBack"/>
            <w:bookmarkEnd w:id="0"/>
            <w:r w:rsidRPr="008E5222">
              <w:rPr>
                <w:rFonts w:ascii="Calibri" w:hAnsi="Calibri" w:cstheme="minorHAnsi"/>
                <w:b/>
                <w:spacing w:val="-6"/>
                <w:kern w:val="2"/>
                <w:szCs w:val="20"/>
              </w:rPr>
              <w:t>Purpose:</w:t>
            </w:r>
            <w:r w:rsidR="00F618E2" w:rsidRPr="00526DFD">
              <w:rPr>
                <w:rFonts w:ascii="Calibri" w:hAnsi="Calibri" w:cstheme="minorHAnsi"/>
                <w:spacing w:val="-6"/>
                <w:kern w:val="2"/>
                <w:szCs w:val="20"/>
              </w:rPr>
              <w:t xml:space="preserve"> </w:t>
            </w:r>
            <w:r w:rsidR="00A403E2">
              <w:rPr>
                <w:rFonts w:ascii="Calibri" w:hAnsi="Calibri" w:cstheme="minorHAnsi"/>
                <w:spacing w:val="-6"/>
                <w:kern w:val="2"/>
                <w:szCs w:val="20"/>
              </w:rPr>
              <w:t xml:space="preserve"> Review </w:t>
            </w:r>
            <w:r w:rsidR="00FC613F">
              <w:rPr>
                <w:rFonts w:ascii="Calibri" w:hAnsi="Calibri" w:cstheme="minorHAnsi"/>
                <w:spacing w:val="-6"/>
                <w:kern w:val="2"/>
                <w:szCs w:val="20"/>
              </w:rPr>
              <w:t>EPIC Charting Questions/Concerns</w:t>
            </w:r>
          </w:p>
        </w:tc>
        <w:tc>
          <w:tcPr>
            <w:tcW w:w="4800" w:type="dxa"/>
          </w:tcPr>
          <w:p w:rsidR="00F159B2" w:rsidRPr="008E5222" w:rsidRDefault="00F159B2" w:rsidP="009565E3">
            <w:pPr>
              <w:spacing w:after="0"/>
              <w:rPr>
                <w:rFonts w:ascii="Calibri" w:hAnsi="Calibri" w:cstheme="minorHAnsi"/>
                <w:spacing w:val="-6"/>
                <w:kern w:val="2"/>
                <w:szCs w:val="20"/>
              </w:rPr>
            </w:pPr>
            <w:r w:rsidRPr="008E5222">
              <w:rPr>
                <w:rFonts w:ascii="Calibri" w:hAnsi="Calibri" w:cstheme="minorHAnsi"/>
                <w:b/>
                <w:spacing w:val="-6"/>
                <w:kern w:val="2"/>
                <w:szCs w:val="20"/>
              </w:rPr>
              <w:t>Facilitator:</w:t>
            </w:r>
            <w:r w:rsidR="00526DFD">
              <w:rPr>
                <w:rFonts w:ascii="Calibri" w:hAnsi="Calibri" w:cstheme="minorHAnsi"/>
                <w:spacing w:val="-6"/>
                <w:kern w:val="2"/>
                <w:szCs w:val="20"/>
              </w:rPr>
              <w:t xml:space="preserve"> </w:t>
            </w:r>
            <w:r w:rsidR="009565E3">
              <w:rPr>
                <w:rFonts w:ascii="Calibri" w:hAnsi="Calibri" w:cstheme="minorHAnsi"/>
                <w:spacing w:val="-6"/>
                <w:kern w:val="2"/>
                <w:szCs w:val="20"/>
              </w:rPr>
              <w:t>Megan Hellrung</w:t>
            </w:r>
            <w:r w:rsidR="00FC613F">
              <w:rPr>
                <w:rFonts w:ascii="Calibri" w:hAnsi="Calibri" w:cstheme="minorHAnsi"/>
                <w:spacing w:val="-6"/>
                <w:kern w:val="2"/>
                <w:szCs w:val="20"/>
              </w:rPr>
              <w:t xml:space="preserve">, Kristi Schuessler </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"Name of Facilitator" </w:instrText>
            </w:r>
            <w:r w:rsidRPr="008E5222">
              <w:rPr>
                <w:rFonts w:ascii="Calibri" w:hAnsi="Calibri" w:cstheme="minorHAnsi"/>
                <w:spacing w:val="-6"/>
                <w:kern w:val="2"/>
                <w:szCs w:val="20"/>
              </w:rPr>
              <w:fldChar w:fldCharType="end"/>
            </w:r>
          </w:p>
        </w:tc>
        <w:tc>
          <w:tcPr>
            <w:tcW w:w="4800" w:type="dxa"/>
          </w:tcPr>
          <w:p w:rsidR="00F159B2" w:rsidRPr="008E5222" w:rsidRDefault="00F159B2" w:rsidP="00FC613F">
            <w:pPr>
              <w:spacing w:after="0"/>
              <w:rPr>
                <w:rFonts w:ascii="Calibri" w:hAnsi="Calibri" w:cstheme="minorHAnsi"/>
                <w:spacing w:val="-6"/>
                <w:kern w:val="2"/>
                <w:szCs w:val="20"/>
              </w:rPr>
            </w:pPr>
            <w:r w:rsidRPr="008E5222">
              <w:rPr>
                <w:rFonts w:ascii="Calibri" w:hAnsi="Calibri" w:cstheme="minorHAnsi"/>
                <w:b/>
                <w:spacing w:val="-6"/>
                <w:kern w:val="2"/>
                <w:szCs w:val="20"/>
              </w:rPr>
              <w:t>Sponsor:</w:t>
            </w:r>
            <w:r w:rsidR="008D4834" w:rsidRPr="00526DFD">
              <w:rPr>
                <w:rFonts w:ascii="Calibri" w:hAnsi="Calibri" w:cstheme="minorHAnsi"/>
                <w:spacing w:val="-6"/>
                <w:kern w:val="2"/>
                <w:szCs w:val="20"/>
              </w:rPr>
              <w:t xml:space="preserve"> </w:t>
            </w:r>
          </w:p>
        </w:tc>
      </w:tr>
      <w:tr w:rsidR="00C21A41" w:rsidRPr="008E5222" w:rsidTr="00C51EE2">
        <w:trPr>
          <w:trHeight w:val="50"/>
        </w:trPr>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Date:</w:t>
            </w:r>
            <w:r w:rsidR="001F1510" w:rsidRPr="008E5222">
              <w:rPr>
                <w:rFonts w:ascii="Calibri" w:hAnsi="Calibri" w:cstheme="minorHAnsi"/>
                <w:spacing w:val="-6"/>
                <w:kern w:val="2"/>
                <w:szCs w:val="20"/>
              </w:rPr>
              <w:t xml:space="preserve"> </w:t>
            </w:r>
            <w:r w:rsidR="009565E3">
              <w:rPr>
                <w:rFonts w:ascii="Calibri" w:hAnsi="Calibri" w:cstheme="minorHAnsi"/>
                <w:spacing w:val="-6"/>
                <w:kern w:val="2"/>
                <w:szCs w:val="20"/>
              </w:rPr>
              <w:t>2/2/2015</w:t>
            </w:r>
          </w:p>
        </w:tc>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Scribe:</w:t>
            </w:r>
            <w:r w:rsidR="008D4834" w:rsidRPr="008E5222">
              <w:rPr>
                <w:rFonts w:ascii="Calibri" w:hAnsi="Calibri" w:cstheme="minorHAnsi"/>
                <w:spacing w:val="-6"/>
                <w:kern w:val="2"/>
                <w:szCs w:val="20"/>
              </w:rPr>
              <w:t xml:space="preserve"> </w:t>
            </w:r>
            <w:r w:rsidR="00526DFD" w:rsidRPr="008E5222">
              <w:rPr>
                <w:rFonts w:ascii="Calibri" w:hAnsi="Calibri" w:cstheme="minorHAnsi"/>
                <w:spacing w:val="-6"/>
                <w:kern w:val="2"/>
                <w:szCs w:val="20"/>
              </w:rPr>
              <w:t xml:space="preserve"> </w:t>
            </w:r>
            <w:r w:rsidR="00FC613F">
              <w:rPr>
                <w:rFonts w:ascii="Calibri" w:hAnsi="Calibri" w:cstheme="minorHAnsi"/>
                <w:spacing w:val="-6"/>
                <w:kern w:val="2"/>
                <w:szCs w:val="20"/>
              </w:rPr>
              <w:t>Megan Hellrung</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"Note taker" </w:instrText>
            </w:r>
            <w:r w:rsidRPr="008E5222">
              <w:rPr>
                <w:rFonts w:ascii="Calibri" w:hAnsi="Calibri" w:cstheme="minorHAnsi"/>
                <w:spacing w:val="-6"/>
                <w:kern w:val="2"/>
                <w:szCs w:val="20"/>
              </w:rPr>
              <w:fldChar w:fldCharType="end"/>
            </w:r>
          </w:p>
        </w:tc>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Timekeeper:</w:t>
            </w:r>
            <w:r w:rsidR="008D4834" w:rsidRPr="008E5222">
              <w:rPr>
                <w:rFonts w:ascii="Calibri" w:hAnsi="Calibri" w:cstheme="minorHAnsi"/>
                <w:spacing w:val="-6"/>
                <w:kern w:val="2"/>
                <w:szCs w:val="20"/>
              </w:rPr>
              <w:t xml:space="preserve"> </w:t>
            </w:r>
            <w:r w:rsidR="00526DFD" w:rsidRPr="008E5222">
              <w:rPr>
                <w:rFonts w:ascii="Calibri" w:hAnsi="Calibri" w:cstheme="minorHAnsi"/>
                <w:spacing w:val="-6"/>
                <w:kern w:val="2"/>
                <w:szCs w:val="20"/>
              </w:rPr>
              <w:t xml:space="preserve"> </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"Evaluator/Timekeeper" </w:instrText>
            </w:r>
            <w:r w:rsidRPr="008E5222">
              <w:rPr>
                <w:rFonts w:ascii="Calibri" w:hAnsi="Calibri" w:cstheme="minorHAnsi"/>
                <w:spacing w:val="-6"/>
                <w:kern w:val="2"/>
                <w:szCs w:val="20"/>
              </w:rPr>
              <w:fldChar w:fldCharType="end"/>
            </w:r>
          </w:p>
        </w:tc>
      </w:tr>
      <w:tr w:rsidR="00C21A41" w:rsidRPr="008E5222" w:rsidTr="00C51EE2">
        <w:trPr>
          <w:trHeight w:val="50"/>
        </w:trPr>
        <w:tc>
          <w:tcPr>
            <w:tcW w:w="4800" w:type="dxa"/>
          </w:tcPr>
          <w:p w:rsidR="00C21A41" w:rsidRPr="008E5222" w:rsidRDefault="007E1787" w:rsidP="009565E3">
            <w:pPr>
              <w:spacing w:after="0"/>
              <w:rPr>
                <w:rFonts w:ascii="Calibri" w:hAnsi="Calibri" w:cstheme="minorHAnsi"/>
                <w:spacing w:val="-6"/>
                <w:kern w:val="2"/>
                <w:szCs w:val="20"/>
              </w:rPr>
            </w:pPr>
            <w:r>
              <w:rPr>
                <w:rFonts w:ascii="Calibri" w:hAnsi="Calibri" w:cstheme="minorHAnsi"/>
                <w:b/>
                <w:spacing w:val="-6"/>
                <w:kern w:val="2"/>
                <w:szCs w:val="20"/>
              </w:rPr>
              <w:t>In attendance</w:t>
            </w:r>
            <w:r w:rsidR="008B4F6C">
              <w:rPr>
                <w:rFonts w:ascii="Calibri" w:hAnsi="Calibri" w:cstheme="minorHAnsi"/>
                <w:b/>
                <w:spacing w:val="-6"/>
                <w:kern w:val="2"/>
                <w:szCs w:val="20"/>
              </w:rPr>
              <w:t xml:space="preserve">: </w:t>
            </w:r>
            <w:r w:rsidR="00FC613F">
              <w:rPr>
                <w:rFonts w:ascii="Calibri" w:hAnsi="Calibri" w:cstheme="minorHAnsi"/>
                <w:b/>
                <w:spacing w:val="-6"/>
                <w:kern w:val="2"/>
                <w:szCs w:val="20"/>
              </w:rPr>
              <w:t xml:space="preserve"> Shauna Sutton, Kaci Meddings, Kezia Windham, Megan Hellrung, Kristi Schuessler </w:t>
            </w:r>
          </w:p>
        </w:tc>
        <w:tc>
          <w:tcPr>
            <w:tcW w:w="4800" w:type="dxa"/>
          </w:tcPr>
          <w:p w:rsidR="00C21A41" w:rsidRPr="008E5222" w:rsidRDefault="00C21A41" w:rsidP="00FC613F">
            <w:pPr>
              <w:spacing w:after="0"/>
              <w:rPr>
                <w:rFonts w:ascii="Calibri" w:hAnsi="Calibri" w:cstheme="minorHAnsi"/>
                <w:b/>
                <w:spacing w:val="-6"/>
                <w:kern w:val="2"/>
                <w:szCs w:val="20"/>
              </w:rPr>
            </w:pPr>
            <w:r w:rsidRPr="008E5222">
              <w:rPr>
                <w:rFonts w:ascii="Calibri" w:hAnsi="Calibri" w:cstheme="minorHAnsi"/>
                <w:b/>
                <w:spacing w:val="-6"/>
                <w:kern w:val="2"/>
                <w:szCs w:val="20"/>
              </w:rPr>
              <w:t>Location:</w:t>
            </w:r>
            <w:r w:rsidR="008D4834" w:rsidRPr="008E5222">
              <w:rPr>
                <w:rFonts w:ascii="Calibri" w:hAnsi="Calibri" w:cstheme="minorHAnsi"/>
                <w:b/>
                <w:spacing w:val="-6"/>
                <w:kern w:val="2"/>
                <w:szCs w:val="20"/>
              </w:rPr>
              <w:t xml:space="preserve"> </w:t>
            </w:r>
          </w:p>
        </w:tc>
        <w:tc>
          <w:tcPr>
            <w:tcW w:w="4800" w:type="dxa"/>
          </w:tcPr>
          <w:p w:rsidR="00C21A41" w:rsidRPr="008E5222" w:rsidRDefault="00C21A41" w:rsidP="00FC613F">
            <w:pPr>
              <w:spacing w:after="0"/>
              <w:rPr>
                <w:rFonts w:ascii="Calibri" w:hAnsi="Calibri" w:cstheme="minorHAnsi"/>
                <w:spacing w:val="-6"/>
                <w:kern w:val="2"/>
                <w:szCs w:val="20"/>
              </w:rPr>
            </w:pPr>
            <w:r w:rsidRPr="008E5222">
              <w:rPr>
                <w:rFonts w:ascii="Calibri" w:hAnsi="Calibri" w:cstheme="minorHAnsi"/>
                <w:b/>
                <w:spacing w:val="-6"/>
                <w:kern w:val="2"/>
                <w:szCs w:val="20"/>
              </w:rPr>
              <w:t xml:space="preserve">Time: </w:t>
            </w:r>
            <w:r w:rsidR="00290389" w:rsidRPr="008E5222">
              <w:rPr>
                <w:rFonts w:ascii="Calibri" w:hAnsi="Calibri" w:cstheme="minorHAnsi"/>
                <w:spacing w:val="-6"/>
                <w:kern w:val="2"/>
                <w:szCs w:val="20"/>
              </w:rPr>
              <w:t xml:space="preserve"> </w:t>
            </w:r>
            <w:r w:rsidR="00FC613F">
              <w:rPr>
                <w:rFonts w:ascii="Calibri" w:hAnsi="Calibri" w:cstheme="minorHAnsi"/>
                <w:spacing w:val="-6"/>
                <w:kern w:val="2"/>
                <w:szCs w:val="20"/>
              </w:rPr>
              <w:t>1100-1200</w:t>
            </w:r>
          </w:p>
        </w:tc>
      </w:tr>
    </w:tbl>
    <w:p w:rsidR="00BA53B4" w:rsidRPr="008E5222" w:rsidRDefault="00BA53B4" w:rsidP="000E3F3F">
      <w:pPr>
        <w:spacing w:after="0"/>
        <w:ind w:left="-2"/>
        <w:rPr>
          <w:rFonts w:ascii="Calibri" w:hAnsi="Calibri" w:cstheme="minorHAnsi"/>
          <w:b/>
          <w:spacing w:val="-6"/>
          <w:kern w:val="2"/>
          <w:szCs w:val="10"/>
        </w:rPr>
      </w:pPr>
      <w:r w:rsidRPr="008E5222">
        <w:rPr>
          <w:rFonts w:ascii="Calibri" w:hAnsi="Calibri" w:cstheme="minorHAnsi"/>
          <w:b/>
          <w:spacing w:val="-6"/>
          <w:kern w:val="2"/>
          <w:szCs w:val="10"/>
        </w:rPr>
        <w:tab/>
      </w:r>
      <w:r w:rsidRPr="008E5222">
        <w:rPr>
          <w:rFonts w:ascii="Calibri" w:hAnsi="Calibri" w:cstheme="minorHAnsi"/>
          <w:b/>
          <w:spacing w:val="-6"/>
          <w:kern w:val="2"/>
          <w:szCs w:val="10"/>
        </w:rPr>
        <w:tab/>
      </w:r>
      <w:r w:rsidRPr="008E5222">
        <w:rPr>
          <w:rFonts w:ascii="Calibri" w:hAnsi="Calibri" w:cstheme="minorHAnsi"/>
          <w:b/>
          <w:spacing w:val="-6"/>
          <w:kern w:val="2"/>
          <w:szCs w:val="10"/>
        </w:rPr>
        <w:tab/>
      </w:r>
      <w:r w:rsidRPr="008E5222">
        <w:rPr>
          <w:rFonts w:ascii="Calibri" w:hAnsi="Calibri" w:cstheme="minorHAnsi"/>
          <w:b/>
          <w:spacing w:val="-6"/>
          <w:kern w:val="2"/>
          <w:szCs w:val="10"/>
        </w:rPr>
        <w:tab/>
      </w:r>
    </w:p>
    <w:tbl>
      <w:tblPr>
        <w:tblW w:w="143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10"/>
        <w:gridCol w:w="5040"/>
        <w:gridCol w:w="1170"/>
        <w:gridCol w:w="1260"/>
        <w:gridCol w:w="1080"/>
        <w:gridCol w:w="1350"/>
      </w:tblGrid>
      <w:tr w:rsidR="00CD5669" w:rsidRPr="008E5222" w:rsidTr="00A41693">
        <w:trPr>
          <w:tblHeader/>
        </w:trPr>
        <w:tc>
          <w:tcPr>
            <w:tcW w:w="441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Topic</w:t>
            </w:r>
          </w:p>
        </w:tc>
        <w:tc>
          <w:tcPr>
            <w:tcW w:w="5040" w:type="dxa"/>
            <w:shd w:val="clear" w:color="auto" w:fill="FFB9B9"/>
            <w:vAlign w:val="center"/>
          </w:tcPr>
          <w:p w:rsidR="00CD5669" w:rsidRPr="008E5222" w:rsidRDefault="007F1572" w:rsidP="000E3F3F">
            <w:pPr>
              <w:spacing w:after="0"/>
              <w:rPr>
                <w:rFonts w:ascii="Calibri" w:hAnsi="Calibri" w:cstheme="minorHAnsi"/>
                <w:b/>
                <w:spacing w:val="-6"/>
                <w:kern w:val="2"/>
                <w:szCs w:val="20"/>
              </w:rPr>
            </w:pPr>
            <w:r>
              <w:rPr>
                <w:rFonts w:ascii="Calibri" w:hAnsi="Calibri" w:cstheme="minorHAnsi"/>
                <w:b/>
                <w:spacing w:val="-6"/>
                <w:kern w:val="2"/>
                <w:szCs w:val="20"/>
              </w:rPr>
              <w:t>Discussion/Action/FU</w:t>
            </w:r>
          </w:p>
        </w:tc>
        <w:tc>
          <w:tcPr>
            <w:tcW w:w="1170" w:type="dxa"/>
            <w:shd w:val="clear" w:color="auto" w:fill="FFB9B9"/>
            <w:vAlign w:val="center"/>
          </w:tcPr>
          <w:p w:rsidR="00CD5669"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GPS</w:t>
            </w:r>
          </w:p>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Component</w:t>
            </w:r>
          </w:p>
        </w:tc>
        <w:tc>
          <w:tcPr>
            <w:tcW w:w="1260" w:type="dxa"/>
            <w:shd w:val="clear" w:color="auto" w:fill="FFB9B9"/>
          </w:tcPr>
          <w:p w:rsidR="00CD5669"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 xml:space="preserve">Magnet </w:t>
            </w:r>
          </w:p>
          <w:p w:rsidR="00CD5669" w:rsidRPr="008E5222"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Component</w:t>
            </w:r>
          </w:p>
        </w:tc>
        <w:tc>
          <w:tcPr>
            <w:tcW w:w="108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Discussion Leader</w:t>
            </w:r>
          </w:p>
        </w:tc>
        <w:tc>
          <w:tcPr>
            <w:tcW w:w="135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Time</w:t>
            </w:r>
          </w:p>
        </w:tc>
      </w:tr>
      <w:tr w:rsidR="00CD5669" w:rsidRPr="008E5222" w:rsidTr="00A41693">
        <w:tc>
          <w:tcPr>
            <w:tcW w:w="4410" w:type="dxa"/>
            <w:vAlign w:val="center"/>
          </w:tcPr>
          <w:p w:rsidR="00CD5669" w:rsidRPr="00FC613F" w:rsidRDefault="00FC613F" w:rsidP="000E3F3F">
            <w:pPr>
              <w:spacing w:after="0"/>
              <w:rPr>
                <w:rFonts w:ascii="Calibri" w:hAnsi="Calibri" w:cstheme="minorHAnsi"/>
                <w:b/>
                <w:spacing w:val="-6"/>
                <w:kern w:val="2"/>
              </w:rPr>
            </w:pPr>
            <w:r w:rsidRPr="00FC613F">
              <w:rPr>
                <w:rFonts w:ascii="Calibri" w:hAnsi="Calibri" w:cstheme="minorHAnsi"/>
                <w:b/>
                <w:spacing w:val="-6"/>
                <w:kern w:val="2"/>
              </w:rPr>
              <w:t>Timing Events</w:t>
            </w:r>
          </w:p>
          <w:p w:rsidR="00FC613F" w:rsidRPr="00FC613F" w:rsidRDefault="00FC613F" w:rsidP="00FC613F">
            <w:pPr>
              <w:pStyle w:val="ListParagraph"/>
              <w:spacing w:after="0"/>
              <w:rPr>
                <w:rFonts w:ascii="Calibri" w:hAnsi="Calibri" w:cstheme="minorHAnsi"/>
                <w:spacing w:val="-6"/>
                <w:kern w:val="2"/>
              </w:rPr>
            </w:pPr>
          </w:p>
        </w:tc>
        <w:tc>
          <w:tcPr>
            <w:tcW w:w="5040" w:type="dxa"/>
            <w:vAlign w:val="center"/>
          </w:tcPr>
          <w:p w:rsidR="00FC613F" w:rsidRPr="00FC613F" w:rsidRDefault="00FC613F" w:rsidP="00FC613F">
            <w:pPr>
              <w:spacing w:after="0"/>
              <w:rPr>
                <w:rFonts w:ascii="Calibri" w:hAnsi="Calibri" w:cstheme="minorHAnsi"/>
                <w:spacing w:val="-6"/>
                <w:kern w:val="2"/>
              </w:rPr>
            </w:pPr>
          </w:p>
        </w:tc>
        <w:tc>
          <w:tcPr>
            <w:tcW w:w="1170" w:type="dxa"/>
            <w:vAlign w:val="center"/>
          </w:tcPr>
          <w:p w:rsidR="00CD5669" w:rsidRPr="008E5222" w:rsidRDefault="00CD5669" w:rsidP="000E3F3F">
            <w:pPr>
              <w:spacing w:after="0"/>
              <w:rPr>
                <w:rFonts w:ascii="Calibri" w:hAnsi="Calibri" w:cstheme="minorHAnsi"/>
                <w:spacing w:val="-6"/>
                <w:kern w:val="2"/>
              </w:rPr>
            </w:pPr>
          </w:p>
        </w:tc>
        <w:tc>
          <w:tcPr>
            <w:tcW w:w="1260" w:type="dxa"/>
          </w:tcPr>
          <w:p w:rsidR="00CD5669" w:rsidRPr="008E5222" w:rsidRDefault="00CD5669" w:rsidP="000E3F3F">
            <w:pPr>
              <w:spacing w:after="0"/>
              <w:rPr>
                <w:rFonts w:ascii="Calibri" w:hAnsi="Calibri" w:cstheme="minorHAnsi"/>
                <w:spacing w:val="-6"/>
                <w:kern w:val="2"/>
              </w:rPr>
            </w:pPr>
          </w:p>
        </w:tc>
        <w:tc>
          <w:tcPr>
            <w:tcW w:w="1080" w:type="dxa"/>
            <w:vAlign w:val="center"/>
          </w:tcPr>
          <w:p w:rsidR="00CD5669" w:rsidRPr="008E5222" w:rsidRDefault="00CD5669" w:rsidP="000E3F3F">
            <w:pPr>
              <w:spacing w:after="0"/>
              <w:rPr>
                <w:rFonts w:ascii="Calibri" w:hAnsi="Calibri" w:cstheme="minorHAnsi"/>
                <w:spacing w:val="-6"/>
                <w:kern w:val="2"/>
              </w:rPr>
            </w:pPr>
          </w:p>
        </w:tc>
        <w:tc>
          <w:tcPr>
            <w:tcW w:w="1350" w:type="dxa"/>
            <w:vAlign w:val="center"/>
          </w:tcPr>
          <w:p w:rsidR="00CD5669" w:rsidRPr="008E5222" w:rsidRDefault="00CD5669" w:rsidP="000E3F3F">
            <w:pPr>
              <w:spacing w:after="0"/>
              <w:rPr>
                <w:rFonts w:ascii="Calibri" w:hAnsi="Calibri" w:cstheme="minorHAnsi"/>
                <w:spacing w:val="-6"/>
                <w:kern w:val="2"/>
              </w:rPr>
            </w:pPr>
          </w:p>
        </w:tc>
      </w:tr>
      <w:tr w:rsidR="00CD5669" w:rsidRPr="008E5222" w:rsidTr="00A41693">
        <w:trPr>
          <w:trHeight w:val="368"/>
        </w:trPr>
        <w:tc>
          <w:tcPr>
            <w:tcW w:w="4410" w:type="dxa"/>
            <w:vAlign w:val="center"/>
          </w:tcPr>
          <w:p w:rsidR="00FA0938" w:rsidRPr="00FC613F" w:rsidRDefault="00FC613F" w:rsidP="00FC613F">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Procedure Start/Procedure End</w:t>
            </w:r>
          </w:p>
        </w:tc>
        <w:tc>
          <w:tcPr>
            <w:tcW w:w="5040" w:type="dxa"/>
            <w:vAlign w:val="center"/>
          </w:tcPr>
          <w:p w:rsidR="00CD5669" w:rsidRDefault="00FC613F" w:rsidP="000E3F3F">
            <w:pPr>
              <w:spacing w:after="0"/>
              <w:rPr>
                <w:rFonts w:ascii="Calibri" w:hAnsi="Calibri" w:cstheme="minorHAnsi"/>
                <w:spacing w:val="-6"/>
                <w:kern w:val="2"/>
              </w:rPr>
            </w:pPr>
            <w:r>
              <w:rPr>
                <w:rFonts w:ascii="Calibri" w:hAnsi="Calibri" w:cstheme="minorHAnsi"/>
                <w:spacing w:val="-6"/>
                <w:kern w:val="2"/>
              </w:rPr>
              <w:t>Discussion:</w:t>
            </w:r>
          </w:p>
          <w:p w:rsidR="00FC613F" w:rsidRDefault="00FC613F" w:rsidP="00FC613F">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Concern when multiple sites/multiple procedures done as a single case &amp; book as “one blocked procedure</w:t>
            </w:r>
            <w:r w:rsidR="00D81484">
              <w:rPr>
                <w:rFonts w:ascii="Calibri" w:hAnsi="Calibri" w:cstheme="minorHAnsi"/>
                <w:spacing w:val="-6"/>
                <w:kern w:val="2"/>
              </w:rPr>
              <w:t>”</w:t>
            </w:r>
            <w:r>
              <w:rPr>
                <w:rFonts w:ascii="Calibri" w:hAnsi="Calibri" w:cstheme="minorHAnsi"/>
                <w:spacing w:val="-6"/>
                <w:kern w:val="2"/>
              </w:rPr>
              <w:t xml:space="preserve"> </w:t>
            </w:r>
          </w:p>
          <w:p w:rsidR="00FC613F" w:rsidRDefault="00FC613F" w:rsidP="00FC613F">
            <w:pPr>
              <w:pStyle w:val="ListParagraph"/>
              <w:numPr>
                <w:ilvl w:val="0"/>
                <w:numId w:val="35"/>
              </w:numPr>
              <w:spacing w:after="0"/>
              <w:rPr>
                <w:rFonts w:ascii="Calibri" w:hAnsi="Calibri" w:cstheme="minorHAnsi"/>
                <w:spacing w:val="-6"/>
                <w:kern w:val="2"/>
              </w:rPr>
            </w:pPr>
            <w:r>
              <w:rPr>
                <w:rFonts w:ascii="Calibri" w:hAnsi="Calibri" w:cstheme="minorHAnsi"/>
                <w:spacing w:val="-6"/>
                <w:kern w:val="2"/>
              </w:rPr>
              <w:t>Issue with possibility of a complication occurring during a specific period of a procedure</w:t>
            </w:r>
            <w:r w:rsidR="00D81484">
              <w:rPr>
                <w:rFonts w:ascii="Calibri" w:hAnsi="Calibri" w:cstheme="minorHAnsi"/>
                <w:spacing w:val="-6"/>
                <w:kern w:val="2"/>
              </w:rPr>
              <w:t xml:space="preserve">/unknown part of procedure or simultaneous procedures </w:t>
            </w:r>
            <w:r>
              <w:rPr>
                <w:rFonts w:ascii="Calibri" w:hAnsi="Calibri" w:cstheme="minorHAnsi"/>
                <w:spacing w:val="-6"/>
                <w:kern w:val="2"/>
              </w:rPr>
              <w:t xml:space="preserve"> </w:t>
            </w:r>
          </w:p>
          <w:p w:rsidR="00D81484" w:rsidRPr="00F13322" w:rsidRDefault="00D81484" w:rsidP="00D81484">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additional documentation of multiple sites/multiple procedure done as a single case  </w:t>
            </w:r>
            <w:r w:rsidRPr="00F13322">
              <w:rPr>
                <w:rFonts w:ascii="Calibri" w:hAnsi="Calibri" w:cstheme="minorHAnsi"/>
                <w:b/>
                <w:spacing w:val="-6"/>
                <w:kern w:val="2"/>
                <w:u w:val="single"/>
              </w:rPr>
              <w:t>is not necessary</w:t>
            </w:r>
            <w:r>
              <w:rPr>
                <w:rFonts w:ascii="Calibri" w:hAnsi="Calibri" w:cstheme="minorHAnsi"/>
                <w:spacing w:val="-6"/>
                <w:kern w:val="2"/>
              </w:rPr>
              <w:t xml:space="preserve"> </w:t>
            </w:r>
            <w:r w:rsidRPr="006C6A87">
              <w:rPr>
                <w:rFonts w:ascii="Calibri" w:hAnsi="Calibri" w:cstheme="minorHAnsi"/>
                <w:spacing w:val="-6"/>
                <w:kern w:val="2"/>
              </w:rPr>
              <w:t>if</w:t>
            </w:r>
            <w:r w:rsidR="00F13322" w:rsidRPr="006C6A87">
              <w:rPr>
                <w:rFonts w:ascii="Calibri" w:hAnsi="Calibri" w:cstheme="minorHAnsi"/>
                <w:spacing w:val="-6"/>
                <w:kern w:val="2"/>
              </w:rPr>
              <w:t xml:space="preserve"> appropriate</w:t>
            </w:r>
            <w:r w:rsidRPr="006C6A87">
              <w:rPr>
                <w:rFonts w:ascii="Calibri" w:hAnsi="Calibri" w:cstheme="minorHAnsi"/>
                <w:spacing w:val="-6"/>
                <w:kern w:val="2"/>
              </w:rPr>
              <w:t xml:space="preserve"> </w:t>
            </w:r>
            <w:r w:rsidRPr="006C6A87">
              <w:rPr>
                <w:rFonts w:ascii="Calibri" w:hAnsi="Calibri" w:cstheme="minorHAnsi"/>
                <w:spacing w:val="-6"/>
                <w:kern w:val="2"/>
                <w:highlight w:val="yellow"/>
              </w:rPr>
              <w:t>“time stamping”</w:t>
            </w:r>
            <w:r w:rsidRPr="006C6A87">
              <w:rPr>
                <w:rFonts w:ascii="Calibri" w:hAnsi="Calibri" w:cstheme="minorHAnsi"/>
                <w:spacing w:val="-6"/>
                <w:kern w:val="2"/>
              </w:rPr>
              <w:t xml:space="preserve"> for procedures </w:t>
            </w:r>
            <w:r w:rsidRPr="00F13322">
              <w:rPr>
                <w:rFonts w:ascii="Calibri" w:hAnsi="Calibri" w:cstheme="minorHAnsi"/>
                <w:spacing w:val="-6"/>
                <w:kern w:val="2"/>
              </w:rPr>
              <w:t>can be assessed through different areas of the Intra-Op Chart including:</w:t>
            </w:r>
          </w:p>
          <w:p w:rsidR="00D81484" w:rsidRDefault="00D81484" w:rsidP="00D81484">
            <w:pPr>
              <w:pStyle w:val="ListParagraph"/>
              <w:numPr>
                <w:ilvl w:val="0"/>
                <w:numId w:val="36"/>
              </w:numPr>
              <w:spacing w:after="0"/>
              <w:rPr>
                <w:rFonts w:ascii="Calibri" w:hAnsi="Calibri" w:cstheme="minorHAnsi"/>
                <w:spacing w:val="-6"/>
                <w:kern w:val="2"/>
              </w:rPr>
            </w:pPr>
            <w:r>
              <w:rPr>
                <w:rFonts w:ascii="Calibri" w:hAnsi="Calibri" w:cstheme="minorHAnsi"/>
                <w:spacing w:val="-6"/>
                <w:kern w:val="2"/>
              </w:rPr>
              <w:t>Positioning change for additional procedures occurs (</w:t>
            </w:r>
            <w:r w:rsidR="00F13322">
              <w:rPr>
                <w:rFonts w:ascii="Calibri" w:hAnsi="Calibri" w:cstheme="minorHAnsi"/>
                <w:spacing w:val="-6"/>
                <w:kern w:val="2"/>
              </w:rPr>
              <w:t>i.e</w:t>
            </w:r>
            <w:r w:rsidRPr="00D81484">
              <w:rPr>
                <w:rFonts w:ascii="Calibri" w:hAnsi="Calibri" w:cstheme="minorHAnsi"/>
                <w:spacing w:val="-6"/>
                <w:kern w:val="2"/>
              </w:rPr>
              <w:t xml:space="preserve">. A/P Spine case) </w:t>
            </w:r>
          </w:p>
          <w:p w:rsidR="00D81484" w:rsidRDefault="00D81484" w:rsidP="00D81484">
            <w:pPr>
              <w:pStyle w:val="ListParagraph"/>
              <w:numPr>
                <w:ilvl w:val="0"/>
                <w:numId w:val="36"/>
              </w:numPr>
              <w:spacing w:after="0"/>
              <w:rPr>
                <w:rFonts w:ascii="Calibri" w:hAnsi="Calibri" w:cstheme="minorHAnsi"/>
                <w:spacing w:val="-6"/>
                <w:kern w:val="2"/>
              </w:rPr>
            </w:pPr>
            <w:r>
              <w:rPr>
                <w:rFonts w:ascii="Calibri" w:hAnsi="Calibri" w:cstheme="minorHAnsi"/>
                <w:spacing w:val="-6"/>
                <w:kern w:val="2"/>
              </w:rPr>
              <w:t xml:space="preserve">Secondary surgical team arrival/departure times </w:t>
            </w:r>
            <w:r w:rsidR="00F13322">
              <w:rPr>
                <w:rFonts w:ascii="Calibri" w:hAnsi="Calibri" w:cstheme="minorHAnsi"/>
                <w:spacing w:val="-6"/>
                <w:kern w:val="2"/>
              </w:rPr>
              <w:t>(i.e. Plastics/Neuro case)</w:t>
            </w:r>
          </w:p>
          <w:p w:rsidR="00F13322" w:rsidRPr="00D81484" w:rsidRDefault="00F13322" w:rsidP="00F13322">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If no position change occurs and there is no change of surgical teams, there is currently no need to document each procedure timing  events separately (i.e. Trach/Peg case) </w:t>
            </w:r>
          </w:p>
          <w:p w:rsidR="00D81484" w:rsidRDefault="00D81484" w:rsidP="00D81484">
            <w:pPr>
              <w:spacing w:after="0"/>
              <w:rPr>
                <w:rFonts w:ascii="Calibri" w:hAnsi="Calibri" w:cstheme="minorHAnsi"/>
                <w:spacing w:val="-6"/>
                <w:kern w:val="2"/>
              </w:rPr>
            </w:pPr>
          </w:p>
          <w:p w:rsidR="00D81484" w:rsidRDefault="00D81484" w:rsidP="00D81484">
            <w:pPr>
              <w:spacing w:after="0"/>
              <w:rPr>
                <w:rFonts w:ascii="Calibri" w:hAnsi="Calibri" w:cstheme="minorHAnsi"/>
                <w:spacing w:val="-6"/>
                <w:kern w:val="2"/>
              </w:rPr>
            </w:pPr>
            <w:r>
              <w:rPr>
                <w:rFonts w:ascii="Calibri" w:hAnsi="Calibri" w:cstheme="minorHAnsi"/>
                <w:spacing w:val="-6"/>
                <w:kern w:val="2"/>
              </w:rPr>
              <w:t>Follow Up:</w:t>
            </w:r>
          </w:p>
          <w:p w:rsidR="00D81484" w:rsidRPr="00D81484" w:rsidRDefault="00F13322" w:rsidP="00F13322">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lastRenderedPageBreak/>
              <w:t xml:space="preserve">Include in EPIC Charting </w:t>
            </w:r>
            <w:r w:rsidR="00D81484">
              <w:rPr>
                <w:rFonts w:ascii="Calibri" w:hAnsi="Calibri" w:cstheme="minorHAnsi"/>
                <w:spacing w:val="-6"/>
                <w:kern w:val="2"/>
              </w:rPr>
              <w:t xml:space="preserve">Guideline importance and necessity of “time stamping” actions including positioning and </w:t>
            </w:r>
            <w:r>
              <w:rPr>
                <w:rFonts w:ascii="Calibri" w:hAnsi="Calibri" w:cstheme="minorHAnsi"/>
                <w:spacing w:val="-6"/>
                <w:kern w:val="2"/>
              </w:rPr>
              <w:t xml:space="preserve">appropriate </w:t>
            </w:r>
            <w:r w:rsidR="00D81484">
              <w:rPr>
                <w:rFonts w:ascii="Calibri" w:hAnsi="Calibri" w:cstheme="minorHAnsi"/>
                <w:spacing w:val="-6"/>
                <w:kern w:val="2"/>
              </w:rPr>
              <w:t>staffing in/out times</w:t>
            </w:r>
            <w:r>
              <w:rPr>
                <w:rFonts w:ascii="Calibri" w:hAnsi="Calibri" w:cstheme="minorHAnsi"/>
                <w:spacing w:val="-6"/>
                <w:kern w:val="2"/>
              </w:rPr>
              <w:t xml:space="preserve">   to support this concern </w:t>
            </w:r>
            <w:r w:rsidR="00D81484">
              <w:rPr>
                <w:rFonts w:ascii="Calibri" w:hAnsi="Calibri" w:cstheme="minorHAnsi"/>
                <w:spacing w:val="-6"/>
                <w:kern w:val="2"/>
              </w:rPr>
              <w:t xml:space="preserve"> </w:t>
            </w:r>
          </w:p>
        </w:tc>
        <w:tc>
          <w:tcPr>
            <w:tcW w:w="1170" w:type="dxa"/>
            <w:vAlign w:val="center"/>
          </w:tcPr>
          <w:p w:rsidR="00CD5669" w:rsidRPr="008E5222" w:rsidRDefault="0001319B" w:rsidP="000E3F3F">
            <w:pPr>
              <w:spacing w:after="0"/>
              <w:rPr>
                <w:rFonts w:ascii="Calibri" w:hAnsi="Calibri" w:cstheme="minorHAnsi"/>
                <w:spacing w:val="-6"/>
                <w:kern w:val="2"/>
              </w:rPr>
            </w:pPr>
            <w:r>
              <w:rPr>
                <w:rFonts w:ascii="Calibri" w:hAnsi="Calibri" w:cstheme="minorHAnsi"/>
                <w:spacing w:val="-6"/>
                <w:kern w:val="2"/>
              </w:rPr>
              <w:lastRenderedPageBreak/>
              <w:t>1,2,3,5</w:t>
            </w:r>
          </w:p>
        </w:tc>
        <w:tc>
          <w:tcPr>
            <w:tcW w:w="1260" w:type="dxa"/>
          </w:tcPr>
          <w:p w:rsidR="00CD5669" w:rsidRPr="008E5222" w:rsidRDefault="0001319B" w:rsidP="000E3F3F">
            <w:pPr>
              <w:spacing w:after="0"/>
              <w:rPr>
                <w:rFonts w:ascii="Calibri" w:hAnsi="Calibri" w:cstheme="minorHAnsi"/>
                <w:spacing w:val="-6"/>
                <w:kern w:val="2"/>
              </w:rPr>
            </w:pPr>
            <w:r>
              <w:rPr>
                <w:rFonts w:ascii="Calibri" w:hAnsi="Calibri" w:cstheme="minorHAnsi"/>
                <w:spacing w:val="-6"/>
                <w:kern w:val="2"/>
              </w:rPr>
              <w:t>3,4,5</w:t>
            </w:r>
          </w:p>
        </w:tc>
        <w:tc>
          <w:tcPr>
            <w:tcW w:w="1080" w:type="dxa"/>
            <w:vAlign w:val="center"/>
          </w:tcPr>
          <w:p w:rsidR="00CD5669" w:rsidRPr="008E5222" w:rsidRDefault="00F13322" w:rsidP="000E3F3F">
            <w:pPr>
              <w:spacing w:after="0"/>
              <w:rPr>
                <w:rFonts w:ascii="Calibri" w:hAnsi="Calibri" w:cstheme="minorHAnsi"/>
                <w:spacing w:val="-6"/>
                <w:kern w:val="2"/>
              </w:rPr>
            </w:pPr>
            <w:r>
              <w:rPr>
                <w:rFonts w:ascii="Calibri" w:hAnsi="Calibri" w:cstheme="minorHAnsi"/>
                <w:spacing w:val="-6"/>
                <w:kern w:val="2"/>
              </w:rPr>
              <w:t>KS</w:t>
            </w:r>
            <w:r w:rsidR="006C6A87">
              <w:rPr>
                <w:rFonts w:ascii="Calibri" w:hAnsi="Calibri" w:cstheme="minorHAnsi"/>
                <w:spacing w:val="-6"/>
                <w:kern w:val="2"/>
              </w:rPr>
              <w:t>, MH</w:t>
            </w:r>
          </w:p>
        </w:tc>
        <w:tc>
          <w:tcPr>
            <w:tcW w:w="1350" w:type="dxa"/>
            <w:vAlign w:val="center"/>
          </w:tcPr>
          <w:p w:rsidR="00CD5669" w:rsidRPr="008E5222" w:rsidRDefault="00A41693" w:rsidP="000E3F3F">
            <w:pPr>
              <w:spacing w:after="0"/>
              <w:rPr>
                <w:rFonts w:ascii="Calibri" w:hAnsi="Calibri" w:cstheme="minorHAnsi"/>
                <w:spacing w:val="-6"/>
                <w:kern w:val="2"/>
              </w:rPr>
            </w:pPr>
            <w:r>
              <w:rPr>
                <w:rFonts w:ascii="Calibri" w:hAnsi="Calibri" w:cstheme="minorHAnsi"/>
                <w:spacing w:val="-6"/>
                <w:kern w:val="2"/>
              </w:rPr>
              <w:t>1110-1120</w:t>
            </w:r>
          </w:p>
        </w:tc>
      </w:tr>
      <w:tr w:rsidR="00CD5669" w:rsidRPr="008E5222" w:rsidTr="00A41693">
        <w:tc>
          <w:tcPr>
            <w:tcW w:w="4410" w:type="dxa"/>
            <w:vAlign w:val="center"/>
          </w:tcPr>
          <w:p w:rsidR="00FC613F" w:rsidRDefault="00FC613F" w:rsidP="00FC613F">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lastRenderedPageBreak/>
              <w:t xml:space="preserve">Events Panel </w:t>
            </w:r>
          </w:p>
          <w:p w:rsidR="00FC613F" w:rsidRPr="00FC613F" w:rsidRDefault="00FC613F" w:rsidP="00FC613F">
            <w:pPr>
              <w:pStyle w:val="ListParagraph"/>
              <w:numPr>
                <w:ilvl w:val="0"/>
                <w:numId w:val="34"/>
              </w:numPr>
              <w:spacing w:after="0"/>
              <w:rPr>
                <w:rFonts w:ascii="Calibri" w:hAnsi="Calibri" w:cstheme="minorHAnsi"/>
                <w:spacing w:val="-6"/>
                <w:kern w:val="2"/>
              </w:rPr>
            </w:pPr>
            <w:r>
              <w:rPr>
                <w:rFonts w:ascii="Calibri" w:hAnsi="Calibri" w:cstheme="minorHAnsi"/>
                <w:spacing w:val="-6"/>
                <w:kern w:val="2"/>
              </w:rPr>
              <w:t>Cut Time</w:t>
            </w:r>
          </w:p>
          <w:p w:rsidR="00FC613F" w:rsidRPr="00FC613F" w:rsidRDefault="00FC613F" w:rsidP="00FC613F">
            <w:pPr>
              <w:pStyle w:val="ListParagraph"/>
              <w:numPr>
                <w:ilvl w:val="0"/>
                <w:numId w:val="34"/>
              </w:numPr>
              <w:spacing w:after="0"/>
              <w:rPr>
                <w:rFonts w:ascii="Calibri" w:hAnsi="Calibri" w:cstheme="minorHAnsi"/>
                <w:spacing w:val="-6"/>
                <w:kern w:val="2"/>
              </w:rPr>
            </w:pPr>
            <w:r w:rsidRPr="00FC613F">
              <w:rPr>
                <w:rFonts w:ascii="Calibri" w:hAnsi="Calibri" w:cstheme="minorHAnsi"/>
                <w:spacing w:val="-6"/>
                <w:kern w:val="2"/>
              </w:rPr>
              <w:t>Sweep of Operative Site</w:t>
            </w:r>
          </w:p>
          <w:p w:rsidR="00FC613F" w:rsidRDefault="00FC613F" w:rsidP="00FC613F">
            <w:pPr>
              <w:pStyle w:val="ListParagraph"/>
              <w:numPr>
                <w:ilvl w:val="0"/>
                <w:numId w:val="34"/>
              </w:numPr>
              <w:spacing w:after="0"/>
              <w:rPr>
                <w:rFonts w:ascii="Calibri" w:hAnsi="Calibri" w:cstheme="minorHAnsi"/>
                <w:spacing w:val="-6"/>
                <w:kern w:val="2"/>
              </w:rPr>
            </w:pPr>
            <w:r>
              <w:rPr>
                <w:rFonts w:ascii="Calibri" w:hAnsi="Calibri" w:cstheme="minorHAnsi"/>
                <w:spacing w:val="-6"/>
                <w:kern w:val="2"/>
              </w:rPr>
              <w:t>Close Time</w:t>
            </w:r>
          </w:p>
          <w:p w:rsidR="00FC613F" w:rsidRPr="00FC613F" w:rsidRDefault="00FC613F" w:rsidP="00FC613F">
            <w:pPr>
              <w:pStyle w:val="ListParagraph"/>
              <w:numPr>
                <w:ilvl w:val="0"/>
                <w:numId w:val="34"/>
              </w:numPr>
              <w:spacing w:after="0"/>
              <w:rPr>
                <w:rFonts w:ascii="Calibri" w:hAnsi="Calibri" w:cstheme="minorHAnsi"/>
                <w:spacing w:val="-6"/>
                <w:kern w:val="2"/>
              </w:rPr>
            </w:pPr>
            <w:r>
              <w:rPr>
                <w:rFonts w:ascii="Calibri" w:hAnsi="Calibri" w:cstheme="minorHAnsi"/>
                <w:spacing w:val="-6"/>
                <w:kern w:val="2"/>
              </w:rPr>
              <w:t xml:space="preserve">Ready for OR Discharge </w:t>
            </w:r>
          </w:p>
        </w:tc>
        <w:tc>
          <w:tcPr>
            <w:tcW w:w="5040" w:type="dxa"/>
            <w:vAlign w:val="center"/>
          </w:tcPr>
          <w:p w:rsidR="007F1572" w:rsidRDefault="00F13322" w:rsidP="000E3F3F">
            <w:pPr>
              <w:spacing w:after="0"/>
              <w:rPr>
                <w:rFonts w:ascii="Calibri" w:hAnsi="Calibri" w:cstheme="minorHAnsi"/>
                <w:spacing w:val="-6"/>
                <w:kern w:val="2"/>
              </w:rPr>
            </w:pPr>
            <w:r>
              <w:rPr>
                <w:rFonts w:ascii="Calibri" w:hAnsi="Calibri" w:cstheme="minorHAnsi"/>
                <w:spacing w:val="-6"/>
                <w:kern w:val="2"/>
              </w:rPr>
              <w:t xml:space="preserve">Discussion: </w:t>
            </w:r>
          </w:p>
          <w:p w:rsidR="00F13322" w:rsidRPr="006C6A87" w:rsidRDefault="006C6A87" w:rsidP="006C6A87">
            <w:pPr>
              <w:pStyle w:val="ListParagraph"/>
              <w:numPr>
                <w:ilvl w:val="0"/>
                <w:numId w:val="33"/>
              </w:numPr>
              <w:spacing w:after="0"/>
              <w:rPr>
                <w:rFonts w:ascii="Calibri" w:hAnsi="Calibri" w:cstheme="minorHAnsi"/>
                <w:spacing w:val="-6"/>
                <w:kern w:val="2"/>
              </w:rPr>
            </w:pPr>
            <w:r w:rsidRPr="00257510">
              <w:rPr>
                <w:rFonts w:ascii="Calibri" w:hAnsi="Calibri" w:cstheme="minorHAnsi"/>
                <w:b/>
                <w:spacing w:val="-6"/>
                <w:kern w:val="2"/>
              </w:rPr>
              <w:t xml:space="preserve">CUT TIME: </w:t>
            </w:r>
            <w:r w:rsidR="00F13322" w:rsidRPr="006C6A87">
              <w:rPr>
                <w:rFonts w:ascii="Calibri" w:hAnsi="Calibri" w:cstheme="minorHAnsi"/>
                <w:spacing w:val="-6"/>
                <w:kern w:val="2"/>
              </w:rPr>
              <w:t xml:space="preserve">Agreed that CUT TIME is always when the </w:t>
            </w:r>
            <w:r w:rsidR="00F13322" w:rsidRPr="006C6A87">
              <w:rPr>
                <w:rFonts w:ascii="Calibri" w:hAnsi="Calibri" w:cstheme="minorHAnsi"/>
                <w:b/>
                <w:spacing w:val="-6"/>
                <w:kern w:val="2"/>
                <w:highlight w:val="yellow"/>
                <w:u w:val="single"/>
              </w:rPr>
              <w:t>physical cut to skin</w:t>
            </w:r>
            <w:r w:rsidR="00F13322" w:rsidRPr="006C6A87">
              <w:rPr>
                <w:rFonts w:ascii="Calibri" w:hAnsi="Calibri" w:cstheme="minorHAnsi"/>
                <w:spacing w:val="-6"/>
                <w:kern w:val="2"/>
                <w:highlight w:val="yellow"/>
              </w:rPr>
              <w:t xml:space="preserve"> occurs</w:t>
            </w:r>
            <w:r w:rsidR="00F13322" w:rsidRPr="006C6A87">
              <w:rPr>
                <w:rFonts w:ascii="Calibri" w:hAnsi="Calibri" w:cstheme="minorHAnsi"/>
                <w:spacing w:val="-6"/>
                <w:kern w:val="2"/>
              </w:rPr>
              <w:t xml:space="preserve"> </w:t>
            </w:r>
          </w:p>
          <w:p w:rsidR="00F13322" w:rsidRDefault="00F13322" w:rsidP="00F13322">
            <w:pPr>
              <w:pStyle w:val="ListParagraph"/>
              <w:numPr>
                <w:ilvl w:val="0"/>
                <w:numId w:val="34"/>
              </w:numPr>
              <w:spacing w:after="0"/>
              <w:rPr>
                <w:rFonts w:ascii="Calibri" w:hAnsi="Calibri" w:cstheme="minorHAnsi"/>
                <w:spacing w:val="-6"/>
                <w:kern w:val="2"/>
              </w:rPr>
            </w:pPr>
            <w:r>
              <w:rPr>
                <w:rFonts w:ascii="Calibri" w:hAnsi="Calibri" w:cstheme="minorHAnsi"/>
                <w:spacing w:val="-6"/>
                <w:kern w:val="2"/>
              </w:rPr>
              <w:t xml:space="preserve">Anesthesia concerns with Mayfield pin placement/local injection and/or spinal needle localization placement is covered by Procedure Start </w:t>
            </w:r>
          </w:p>
          <w:p w:rsidR="00F13322" w:rsidRDefault="006C6A87" w:rsidP="00F13322">
            <w:pPr>
              <w:pStyle w:val="ListParagraph"/>
              <w:numPr>
                <w:ilvl w:val="0"/>
                <w:numId w:val="33"/>
              </w:numPr>
              <w:spacing w:after="0"/>
              <w:rPr>
                <w:rFonts w:ascii="Calibri" w:hAnsi="Calibri" w:cstheme="minorHAnsi"/>
                <w:spacing w:val="-6"/>
                <w:kern w:val="2"/>
              </w:rPr>
            </w:pPr>
            <w:r w:rsidRPr="00257510">
              <w:rPr>
                <w:rFonts w:ascii="Calibri" w:hAnsi="Calibri" w:cstheme="minorHAnsi"/>
                <w:b/>
                <w:spacing w:val="-6"/>
                <w:kern w:val="2"/>
              </w:rPr>
              <w:t>SWEEP OF OPERATIVE SITE:</w:t>
            </w:r>
            <w:r w:rsidR="00F13322" w:rsidRPr="00F13322">
              <w:rPr>
                <w:rFonts w:ascii="Calibri" w:hAnsi="Calibri" w:cstheme="minorHAnsi"/>
                <w:spacing w:val="-6"/>
                <w:kern w:val="2"/>
              </w:rPr>
              <w:sym w:font="Wingdings" w:char="F0E0"/>
            </w:r>
            <w:r w:rsidR="00F13322">
              <w:rPr>
                <w:rFonts w:ascii="Calibri" w:hAnsi="Calibri" w:cstheme="minorHAnsi"/>
                <w:spacing w:val="-6"/>
                <w:kern w:val="2"/>
              </w:rPr>
              <w:t xml:space="preserve"> </w:t>
            </w:r>
            <w:r w:rsidR="00F13322" w:rsidRPr="006C6A87">
              <w:rPr>
                <w:rFonts w:ascii="Calibri" w:hAnsi="Calibri" w:cstheme="minorHAnsi"/>
                <w:b/>
                <w:spacing w:val="-6"/>
                <w:kern w:val="2"/>
                <w:highlight w:val="yellow"/>
              </w:rPr>
              <w:t>Methodical Wound Exploration</w:t>
            </w:r>
            <w:r w:rsidR="00F13322">
              <w:rPr>
                <w:rFonts w:ascii="Calibri" w:hAnsi="Calibri" w:cstheme="minorHAnsi"/>
                <w:spacing w:val="-6"/>
                <w:kern w:val="2"/>
              </w:rPr>
              <w:t xml:space="preserve"> </w:t>
            </w:r>
            <w:r>
              <w:rPr>
                <w:rFonts w:ascii="Calibri" w:hAnsi="Calibri" w:cstheme="minorHAnsi"/>
                <w:spacing w:val="-6"/>
                <w:kern w:val="2"/>
              </w:rPr>
              <w:t>( “MWE”)</w:t>
            </w:r>
          </w:p>
          <w:p w:rsidR="006C6A87" w:rsidRDefault="006C6A87" w:rsidP="006C6A87">
            <w:pPr>
              <w:pStyle w:val="ListParagraph"/>
              <w:numPr>
                <w:ilvl w:val="0"/>
                <w:numId w:val="34"/>
              </w:numPr>
              <w:spacing w:after="0"/>
              <w:rPr>
                <w:rFonts w:ascii="Calibri" w:hAnsi="Calibri" w:cstheme="minorHAnsi"/>
                <w:spacing w:val="-6"/>
                <w:kern w:val="2"/>
              </w:rPr>
            </w:pPr>
            <w:r>
              <w:rPr>
                <w:rFonts w:ascii="Calibri" w:hAnsi="Calibri" w:cstheme="minorHAnsi"/>
                <w:spacing w:val="-6"/>
                <w:kern w:val="2"/>
              </w:rPr>
              <w:t xml:space="preserve">Needs to occur </w:t>
            </w:r>
            <w:r w:rsidRPr="006C6A87">
              <w:rPr>
                <w:rFonts w:ascii="Calibri" w:hAnsi="Calibri" w:cstheme="minorHAnsi"/>
                <w:b/>
                <w:spacing w:val="-6"/>
                <w:kern w:val="2"/>
                <w:u w:val="single"/>
              </w:rPr>
              <w:t>prior</w:t>
            </w:r>
            <w:r>
              <w:rPr>
                <w:rFonts w:ascii="Calibri" w:hAnsi="Calibri" w:cstheme="minorHAnsi"/>
                <w:spacing w:val="-6"/>
                <w:kern w:val="2"/>
              </w:rPr>
              <w:t xml:space="preserve"> to the closing count beginning</w:t>
            </w:r>
          </w:p>
          <w:p w:rsidR="006C6A87" w:rsidRDefault="006C6A87" w:rsidP="006C6A87">
            <w:pPr>
              <w:pStyle w:val="ListParagraph"/>
              <w:numPr>
                <w:ilvl w:val="0"/>
                <w:numId w:val="33"/>
              </w:numPr>
              <w:spacing w:after="0"/>
              <w:rPr>
                <w:rFonts w:ascii="Calibri" w:hAnsi="Calibri" w:cstheme="minorHAnsi"/>
                <w:spacing w:val="-6"/>
                <w:kern w:val="2"/>
              </w:rPr>
            </w:pPr>
            <w:r w:rsidRPr="00257510">
              <w:rPr>
                <w:rFonts w:ascii="Calibri" w:hAnsi="Calibri" w:cstheme="minorHAnsi"/>
                <w:b/>
                <w:spacing w:val="-6"/>
                <w:kern w:val="2"/>
              </w:rPr>
              <w:t>CLOSE TIME:</w:t>
            </w:r>
            <w:r>
              <w:rPr>
                <w:rFonts w:ascii="Calibri" w:hAnsi="Calibri" w:cstheme="minorHAnsi"/>
                <w:spacing w:val="-6"/>
                <w:kern w:val="2"/>
              </w:rPr>
              <w:t xml:space="preserve"> Agreed that CLOSE TIME is when the wound is CLOSE</w:t>
            </w:r>
            <w:r w:rsidRPr="00257510">
              <w:rPr>
                <w:rFonts w:ascii="Calibri" w:hAnsi="Calibri" w:cstheme="minorHAnsi"/>
                <w:b/>
                <w:spacing w:val="-6"/>
                <w:kern w:val="2"/>
                <w:highlight w:val="yellow"/>
                <w:u w:val="single"/>
              </w:rPr>
              <w:t>D</w:t>
            </w:r>
            <w:r>
              <w:rPr>
                <w:rFonts w:ascii="Calibri" w:hAnsi="Calibri" w:cstheme="minorHAnsi"/>
                <w:spacing w:val="-6"/>
                <w:kern w:val="2"/>
              </w:rPr>
              <w:t>; right before dressings are placed</w:t>
            </w:r>
          </w:p>
          <w:p w:rsidR="00257510" w:rsidRPr="006C6A87" w:rsidRDefault="00257510" w:rsidP="006C6A87">
            <w:pPr>
              <w:pStyle w:val="ListParagraph"/>
              <w:numPr>
                <w:ilvl w:val="0"/>
                <w:numId w:val="33"/>
              </w:numPr>
              <w:spacing w:after="0"/>
              <w:rPr>
                <w:rFonts w:ascii="Calibri" w:hAnsi="Calibri" w:cstheme="minorHAnsi"/>
                <w:spacing w:val="-6"/>
                <w:kern w:val="2"/>
              </w:rPr>
            </w:pPr>
            <w:r w:rsidRPr="00257510">
              <w:rPr>
                <w:rFonts w:ascii="Calibri" w:hAnsi="Calibri" w:cstheme="minorHAnsi"/>
                <w:b/>
                <w:spacing w:val="-6"/>
                <w:kern w:val="2"/>
              </w:rPr>
              <w:t>READY FOR OR DISCHARGE:</w:t>
            </w:r>
            <w:r>
              <w:rPr>
                <w:rFonts w:ascii="Calibri" w:hAnsi="Calibri" w:cstheme="minorHAnsi"/>
                <w:spacing w:val="-6"/>
                <w:kern w:val="2"/>
              </w:rPr>
              <w:t xml:space="preserve"> More discussion/information required at this time to confirm purpose. Concern for billing/coding R/T utilizing this or not</w:t>
            </w:r>
          </w:p>
          <w:p w:rsidR="006C6A87" w:rsidRDefault="006C6A87" w:rsidP="006C6A87">
            <w:pPr>
              <w:spacing w:after="0"/>
              <w:rPr>
                <w:rFonts w:ascii="Calibri" w:hAnsi="Calibri" w:cstheme="minorHAnsi"/>
                <w:spacing w:val="-6"/>
                <w:kern w:val="2"/>
              </w:rPr>
            </w:pPr>
            <w:r>
              <w:rPr>
                <w:rFonts w:ascii="Calibri" w:hAnsi="Calibri" w:cstheme="minorHAnsi"/>
                <w:spacing w:val="-6"/>
                <w:kern w:val="2"/>
              </w:rPr>
              <w:t xml:space="preserve"> Follow Up:</w:t>
            </w:r>
          </w:p>
          <w:p w:rsidR="006C6A87" w:rsidRDefault="006C6A87" w:rsidP="006C6A8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Ask Raelynn/ Jen Allen about adding or changing Sweep to MWE with options to select WHO &amp; WHEN was completed</w:t>
            </w:r>
            <w:r w:rsidR="00257510">
              <w:rPr>
                <w:rFonts w:ascii="Calibri" w:hAnsi="Calibri" w:cstheme="minorHAnsi"/>
                <w:spacing w:val="-6"/>
                <w:kern w:val="2"/>
              </w:rPr>
              <w:t xml:space="preserve"> </w:t>
            </w:r>
            <w:r w:rsidR="00257510" w:rsidRPr="00257510">
              <w:rPr>
                <w:rFonts w:ascii="Calibri" w:hAnsi="Calibri" w:cstheme="minorHAnsi"/>
                <w:color w:val="FF0000"/>
                <w:spacing w:val="-6"/>
                <w:kern w:val="2"/>
              </w:rPr>
              <w:t>(via email MH to follow up)</w:t>
            </w:r>
          </w:p>
          <w:p w:rsidR="006C6A87" w:rsidRPr="00257510" w:rsidRDefault="006C6A87" w:rsidP="006C6A87">
            <w:pPr>
              <w:pStyle w:val="ListParagraph"/>
              <w:spacing w:after="0"/>
              <w:rPr>
                <w:rFonts w:ascii="Calibri" w:hAnsi="Calibri" w:cstheme="minorHAnsi"/>
                <w:i/>
                <w:spacing w:val="-6"/>
                <w:kern w:val="2"/>
                <w:u w:val="single"/>
              </w:rPr>
            </w:pPr>
            <w:r w:rsidRPr="00257510">
              <w:rPr>
                <w:rFonts w:ascii="Calibri" w:hAnsi="Calibri" w:cstheme="minorHAnsi"/>
                <w:i/>
                <w:spacing w:val="-6"/>
                <w:kern w:val="2"/>
                <w:u w:val="single"/>
              </w:rPr>
              <w:t xml:space="preserve">* </w:t>
            </w:r>
            <w:proofErr w:type="gramStart"/>
            <w:r w:rsidRPr="00257510">
              <w:rPr>
                <w:rFonts w:ascii="Calibri" w:hAnsi="Calibri" w:cstheme="minorHAnsi"/>
                <w:i/>
                <w:spacing w:val="-6"/>
                <w:kern w:val="2"/>
                <w:u w:val="single"/>
              </w:rPr>
              <w:t>method</w:t>
            </w:r>
            <w:proofErr w:type="gramEnd"/>
            <w:r w:rsidRPr="00257510">
              <w:rPr>
                <w:rFonts w:ascii="Calibri" w:hAnsi="Calibri" w:cstheme="minorHAnsi"/>
                <w:i/>
                <w:spacing w:val="-6"/>
                <w:kern w:val="2"/>
                <w:u w:val="single"/>
              </w:rPr>
              <w:t xml:space="preserve"> for tracking accountability</w:t>
            </w:r>
            <w:r w:rsidR="00257510" w:rsidRPr="00257510">
              <w:rPr>
                <w:rFonts w:ascii="Calibri" w:hAnsi="Calibri" w:cstheme="minorHAnsi"/>
                <w:i/>
                <w:spacing w:val="-6"/>
                <w:kern w:val="2"/>
                <w:u w:val="single"/>
              </w:rPr>
              <w:t xml:space="preserve"> R/T RSI’s</w:t>
            </w:r>
            <w:r w:rsidRPr="00257510">
              <w:rPr>
                <w:rFonts w:ascii="Calibri" w:hAnsi="Calibri" w:cstheme="minorHAnsi"/>
                <w:i/>
                <w:spacing w:val="-6"/>
                <w:kern w:val="2"/>
                <w:u w:val="single"/>
              </w:rPr>
              <w:t>, frequency</w:t>
            </w:r>
            <w:r w:rsidR="00257510" w:rsidRPr="00257510">
              <w:rPr>
                <w:rFonts w:ascii="Calibri" w:hAnsi="Calibri" w:cstheme="minorHAnsi"/>
                <w:i/>
                <w:spacing w:val="-6"/>
                <w:kern w:val="2"/>
                <w:u w:val="single"/>
              </w:rPr>
              <w:t xml:space="preserve"> utilized by staff, continuing education</w:t>
            </w:r>
            <w:r w:rsidRPr="00257510">
              <w:rPr>
                <w:rFonts w:ascii="Calibri" w:hAnsi="Calibri" w:cstheme="minorHAnsi"/>
                <w:i/>
                <w:spacing w:val="-6"/>
                <w:kern w:val="2"/>
                <w:u w:val="single"/>
              </w:rPr>
              <w:t xml:space="preserve"> etc.</w:t>
            </w:r>
          </w:p>
          <w:p w:rsidR="006C6A87" w:rsidRPr="006C6A87" w:rsidRDefault="006C6A87" w:rsidP="006C6A87">
            <w:pPr>
              <w:pStyle w:val="ListParagraph"/>
              <w:numPr>
                <w:ilvl w:val="0"/>
                <w:numId w:val="33"/>
              </w:numPr>
              <w:spacing w:after="0"/>
              <w:rPr>
                <w:rFonts w:ascii="Calibri" w:hAnsi="Calibri" w:cstheme="minorHAnsi"/>
                <w:spacing w:val="-6"/>
                <w:kern w:val="2"/>
              </w:rPr>
            </w:pPr>
            <w:r w:rsidRPr="006C6A87">
              <w:rPr>
                <w:rFonts w:ascii="Calibri" w:hAnsi="Calibri" w:cstheme="minorHAnsi"/>
                <w:spacing w:val="-6"/>
                <w:kern w:val="2"/>
              </w:rPr>
              <w:t xml:space="preserve"> Encourage circulator/scrub to vocalize to the surgical team that a methodical wound exploration needs to be completed prior to the closing count being initiated</w:t>
            </w:r>
          </w:p>
          <w:p w:rsidR="006C6A87" w:rsidRDefault="006C6A87" w:rsidP="006C6A8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Education to Surgeons/Fellows/Residents about verbalizing completion of the MWE </w:t>
            </w:r>
            <w:r w:rsidR="00257510">
              <w:rPr>
                <w:rFonts w:ascii="Calibri" w:hAnsi="Calibri" w:cstheme="minorHAnsi"/>
                <w:spacing w:val="-6"/>
                <w:kern w:val="2"/>
              </w:rPr>
              <w:t xml:space="preserve">to prompt an organized and timely closing count </w:t>
            </w:r>
          </w:p>
          <w:p w:rsidR="00257510" w:rsidRDefault="00257510" w:rsidP="006C6A8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lastRenderedPageBreak/>
              <w:t>Ask Mike/Ashley/Joanne about purpose of READY FOR OR DISCHARGE BUTTION and effect on billing/coding</w:t>
            </w:r>
          </w:p>
          <w:p w:rsidR="00257510" w:rsidRPr="006C6A87" w:rsidRDefault="00257510" w:rsidP="00257510">
            <w:pPr>
              <w:pStyle w:val="ListParagraph"/>
              <w:numPr>
                <w:ilvl w:val="0"/>
                <w:numId w:val="37"/>
              </w:numPr>
              <w:spacing w:after="0"/>
              <w:ind w:left="1055" w:hanging="180"/>
              <w:rPr>
                <w:rFonts w:ascii="Calibri" w:hAnsi="Calibri" w:cstheme="minorHAnsi"/>
                <w:spacing w:val="-6"/>
                <w:kern w:val="2"/>
              </w:rPr>
            </w:pPr>
            <w:r>
              <w:rPr>
                <w:rFonts w:ascii="Calibri" w:hAnsi="Calibri" w:cstheme="minorHAnsi"/>
                <w:spacing w:val="-6"/>
                <w:kern w:val="2"/>
              </w:rPr>
              <w:t xml:space="preserve">Confirm determination on when to appropriate utilize this button PACU hold vs.  right before rolling out of room/case complete, patient stable </w:t>
            </w:r>
            <w:r w:rsidRPr="00257510">
              <w:rPr>
                <w:rFonts w:ascii="Calibri" w:hAnsi="Calibri" w:cstheme="minorHAnsi"/>
                <w:color w:val="FF0000"/>
                <w:spacing w:val="-6"/>
                <w:kern w:val="2"/>
              </w:rPr>
              <w:t xml:space="preserve">(via email KS to follow up) </w:t>
            </w:r>
          </w:p>
        </w:tc>
        <w:tc>
          <w:tcPr>
            <w:tcW w:w="1170" w:type="dxa"/>
            <w:vAlign w:val="center"/>
          </w:tcPr>
          <w:p w:rsidR="00CD5669" w:rsidRPr="008E5222" w:rsidRDefault="0001319B" w:rsidP="000E3F3F">
            <w:pPr>
              <w:spacing w:after="0"/>
              <w:rPr>
                <w:rFonts w:ascii="Calibri" w:hAnsi="Calibri" w:cstheme="minorHAnsi"/>
                <w:spacing w:val="-6"/>
                <w:kern w:val="2"/>
              </w:rPr>
            </w:pPr>
            <w:r>
              <w:rPr>
                <w:rFonts w:ascii="Calibri" w:hAnsi="Calibri" w:cstheme="minorHAnsi"/>
                <w:spacing w:val="-6"/>
                <w:kern w:val="2"/>
              </w:rPr>
              <w:lastRenderedPageBreak/>
              <w:t>1,2,3,5</w:t>
            </w:r>
          </w:p>
        </w:tc>
        <w:tc>
          <w:tcPr>
            <w:tcW w:w="1260" w:type="dxa"/>
          </w:tcPr>
          <w:p w:rsidR="00CD5669" w:rsidRPr="008E5222" w:rsidRDefault="0001319B" w:rsidP="000E3F3F">
            <w:pPr>
              <w:spacing w:after="0"/>
              <w:rPr>
                <w:rFonts w:ascii="Calibri" w:hAnsi="Calibri" w:cstheme="minorHAnsi"/>
                <w:spacing w:val="-6"/>
                <w:kern w:val="2"/>
              </w:rPr>
            </w:pPr>
            <w:r>
              <w:rPr>
                <w:rFonts w:ascii="Calibri" w:hAnsi="Calibri" w:cstheme="minorHAnsi"/>
                <w:spacing w:val="-6"/>
                <w:kern w:val="2"/>
              </w:rPr>
              <w:t>3,4,5</w:t>
            </w:r>
          </w:p>
        </w:tc>
        <w:tc>
          <w:tcPr>
            <w:tcW w:w="1080" w:type="dxa"/>
            <w:vAlign w:val="center"/>
          </w:tcPr>
          <w:p w:rsidR="00CD5669" w:rsidRPr="008E5222" w:rsidRDefault="006C6A87" w:rsidP="000E3F3F">
            <w:pPr>
              <w:spacing w:after="0"/>
              <w:rPr>
                <w:rFonts w:ascii="Calibri" w:hAnsi="Calibri" w:cstheme="minorHAnsi"/>
                <w:spacing w:val="-6"/>
                <w:kern w:val="2"/>
              </w:rPr>
            </w:pPr>
            <w:r>
              <w:rPr>
                <w:rFonts w:ascii="Calibri" w:hAnsi="Calibri" w:cstheme="minorHAnsi"/>
                <w:spacing w:val="-6"/>
                <w:kern w:val="2"/>
              </w:rPr>
              <w:t>KS,MH</w:t>
            </w:r>
          </w:p>
        </w:tc>
        <w:tc>
          <w:tcPr>
            <w:tcW w:w="1350" w:type="dxa"/>
            <w:vAlign w:val="center"/>
          </w:tcPr>
          <w:p w:rsidR="00CD5669" w:rsidRPr="008E5222" w:rsidRDefault="00A41693" w:rsidP="000E3F3F">
            <w:pPr>
              <w:spacing w:after="0"/>
              <w:rPr>
                <w:rFonts w:ascii="Calibri" w:hAnsi="Calibri" w:cstheme="minorHAnsi"/>
                <w:spacing w:val="-6"/>
                <w:kern w:val="2"/>
              </w:rPr>
            </w:pPr>
            <w:r>
              <w:rPr>
                <w:rFonts w:ascii="Calibri" w:hAnsi="Calibri" w:cstheme="minorHAnsi"/>
                <w:spacing w:val="-6"/>
                <w:kern w:val="2"/>
              </w:rPr>
              <w:t>1120-1140</w:t>
            </w:r>
          </w:p>
        </w:tc>
      </w:tr>
      <w:tr w:rsidR="001D068A" w:rsidRPr="008E5222" w:rsidTr="00A41693">
        <w:tc>
          <w:tcPr>
            <w:tcW w:w="4410" w:type="dxa"/>
            <w:vAlign w:val="center"/>
          </w:tcPr>
          <w:p w:rsidR="001D068A" w:rsidRPr="004716C8" w:rsidRDefault="004716C8" w:rsidP="004716C8">
            <w:pPr>
              <w:pStyle w:val="ListParagraph"/>
              <w:spacing w:after="0"/>
              <w:ind w:hanging="720"/>
              <w:rPr>
                <w:rFonts w:ascii="Calibri" w:hAnsi="Calibri" w:cstheme="minorHAnsi"/>
                <w:b/>
                <w:spacing w:val="-6"/>
                <w:kern w:val="2"/>
              </w:rPr>
            </w:pPr>
            <w:r w:rsidRPr="004716C8">
              <w:rPr>
                <w:rFonts w:ascii="Calibri" w:hAnsi="Calibri" w:cstheme="minorHAnsi"/>
                <w:b/>
                <w:spacing w:val="-6"/>
                <w:kern w:val="2"/>
              </w:rPr>
              <w:lastRenderedPageBreak/>
              <w:t xml:space="preserve">Allergies </w:t>
            </w:r>
          </w:p>
        </w:tc>
        <w:tc>
          <w:tcPr>
            <w:tcW w:w="5040" w:type="dxa"/>
            <w:vAlign w:val="center"/>
          </w:tcPr>
          <w:p w:rsidR="00417EC6" w:rsidRDefault="00F237AD" w:rsidP="009565E3">
            <w:pPr>
              <w:spacing w:after="0"/>
              <w:rPr>
                <w:rFonts w:ascii="Calibri" w:hAnsi="Calibri" w:cstheme="minorHAnsi"/>
                <w:spacing w:val="-6"/>
                <w:kern w:val="2"/>
              </w:rPr>
            </w:pPr>
            <w:r>
              <w:rPr>
                <w:rFonts w:ascii="Calibri" w:hAnsi="Calibri" w:cstheme="minorHAnsi"/>
                <w:spacing w:val="-6"/>
                <w:kern w:val="2"/>
              </w:rPr>
              <w:t>Discussion:</w:t>
            </w:r>
          </w:p>
          <w:p w:rsidR="00F237AD" w:rsidRDefault="00F237AD" w:rsidP="00F237AD">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Circulator’s </w:t>
            </w:r>
            <w:r w:rsidRPr="00183FC3">
              <w:rPr>
                <w:rFonts w:ascii="Calibri" w:hAnsi="Calibri" w:cstheme="minorHAnsi"/>
                <w:b/>
                <w:spacing w:val="-6"/>
                <w:kern w:val="2"/>
                <w:u w:val="single"/>
              </w:rPr>
              <w:t xml:space="preserve">must </w:t>
            </w:r>
            <w:r w:rsidRPr="00183FC3">
              <w:rPr>
                <w:rFonts w:ascii="Calibri" w:hAnsi="Calibri" w:cstheme="minorHAnsi"/>
                <w:b/>
                <w:spacing w:val="-6"/>
                <w:kern w:val="2"/>
                <w:highlight w:val="yellow"/>
                <w:u w:val="single"/>
              </w:rPr>
              <w:t>CHART</w:t>
            </w:r>
            <w:r w:rsidRPr="00183FC3">
              <w:rPr>
                <w:rFonts w:ascii="Calibri" w:hAnsi="Calibri" w:cstheme="minorHAnsi"/>
                <w:b/>
                <w:spacing w:val="-6"/>
                <w:kern w:val="2"/>
                <w:u w:val="single"/>
              </w:rPr>
              <w:t xml:space="preserve"> allergies have been review</w:t>
            </w:r>
            <w:r w:rsidR="00183FC3" w:rsidRPr="00183FC3">
              <w:rPr>
                <w:rFonts w:ascii="Calibri" w:hAnsi="Calibri" w:cstheme="minorHAnsi"/>
                <w:b/>
                <w:spacing w:val="-6"/>
                <w:kern w:val="2"/>
                <w:u w:val="single"/>
              </w:rPr>
              <w:t>ed</w:t>
            </w:r>
            <w:r w:rsidRPr="00183FC3">
              <w:rPr>
                <w:rFonts w:ascii="Calibri" w:hAnsi="Calibri" w:cstheme="minorHAnsi"/>
                <w:b/>
                <w:spacing w:val="-6"/>
                <w:kern w:val="2"/>
                <w:u w:val="single"/>
              </w:rPr>
              <w:t xml:space="preserve"> prior </w:t>
            </w:r>
            <w:r w:rsidRPr="00183FC3">
              <w:rPr>
                <w:rFonts w:ascii="Calibri" w:hAnsi="Calibri" w:cstheme="minorHAnsi"/>
                <w:spacing w:val="-6"/>
                <w:kern w:val="2"/>
              </w:rPr>
              <w:t>t</w:t>
            </w:r>
            <w:r>
              <w:rPr>
                <w:rFonts w:ascii="Calibri" w:hAnsi="Calibri" w:cstheme="minorHAnsi"/>
                <w:spacing w:val="-6"/>
                <w:kern w:val="2"/>
              </w:rPr>
              <w:t>o performing pre-operative interview</w:t>
            </w:r>
          </w:p>
          <w:p w:rsidR="00F237AD" w:rsidRDefault="00F237AD" w:rsidP="00F237AD">
            <w:pPr>
              <w:pStyle w:val="ListParagraph"/>
              <w:numPr>
                <w:ilvl w:val="0"/>
                <w:numId w:val="37"/>
              </w:numPr>
              <w:spacing w:after="0"/>
              <w:rPr>
                <w:rFonts w:ascii="Calibri" w:hAnsi="Calibri" w:cstheme="minorHAnsi"/>
                <w:spacing w:val="-6"/>
                <w:kern w:val="2"/>
              </w:rPr>
            </w:pPr>
            <w:r>
              <w:rPr>
                <w:rFonts w:ascii="Calibri" w:hAnsi="Calibri" w:cstheme="minorHAnsi"/>
                <w:spacing w:val="-6"/>
                <w:kern w:val="2"/>
              </w:rPr>
              <w:t>Follows model of 8 Medication/Procedure Rights utilized by nurses on the floor prior to administering any medication/procedure</w:t>
            </w:r>
          </w:p>
          <w:p w:rsidR="00F237AD" w:rsidRDefault="00F237AD" w:rsidP="00F237AD">
            <w:pPr>
              <w:pStyle w:val="ListParagraph"/>
              <w:spacing w:after="0"/>
              <w:ind w:left="1485"/>
              <w:rPr>
                <w:rFonts w:ascii="Calibri" w:hAnsi="Calibri" w:cstheme="minorHAnsi"/>
                <w:spacing w:val="-6"/>
                <w:kern w:val="2"/>
              </w:rPr>
            </w:pPr>
            <w:r>
              <w:rPr>
                <w:rFonts w:ascii="Calibri" w:hAnsi="Calibri" w:cstheme="minorHAnsi"/>
                <w:spacing w:val="-6"/>
                <w:kern w:val="2"/>
              </w:rPr>
              <w:t xml:space="preserve">( Right Patient, Right Medication/Procedure, Right Dose, Right Route, Right Time, Right Documentation, Right Reason, Right Response) </w:t>
            </w:r>
          </w:p>
          <w:p w:rsidR="00F237AD" w:rsidRDefault="00F237AD" w:rsidP="00F237AD">
            <w:pPr>
              <w:pStyle w:val="ListParagraph"/>
              <w:numPr>
                <w:ilvl w:val="0"/>
                <w:numId w:val="37"/>
              </w:numPr>
              <w:spacing w:after="0"/>
              <w:rPr>
                <w:rFonts w:ascii="Calibri" w:hAnsi="Calibri" w:cstheme="minorHAnsi"/>
                <w:spacing w:val="-6"/>
                <w:kern w:val="2"/>
              </w:rPr>
            </w:pPr>
            <w:r>
              <w:rPr>
                <w:rFonts w:ascii="Calibri" w:hAnsi="Calibri" w:cstheme="minorHAnsi"/>
                <w:spacing w:val="-6"/>
                <w:kern w:val="2"/>
              </w:rPr>
              <w:t xml:space="preserve">Encourages patient to correctly identify all allergies and reactions during the Pre-Op interview as well as providing time for the patient to identify if any additional allergies/sensitivities and concerns that could affect the care the patient would receive/come into contact with (i.e. Latex allergy) </w:t>
            </w:r>
          </w:p>
          <w:p w:rsidR="00F237AD" w:rsidRDefault="00F237AD" w:rsidP="00F237AD">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Legal perspective recognizes the importance of clarifying reactions symptoms associated with an allergy as well as  promptly adding new allergies as needed</w:t>
            </w:r>
          </w:p>
          <w:p w:rsidR="00F237AD" w:rsidRPr="00F237AD" w:rsidRDefault="00F237AD" w:rsidP="00F237AD">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lastRenderedPageBreak/>
              <w:t>At this time it is not recommended to remove an allergy from the chart if the patient denies the allergy, rather free text a comment stating the patient verbalized no reaction/allergy to medication or substance</w:t>
            </w:r>
          </w:p>
        </w:tc>
        <w:tc>
          <w:tcPr>
            <w:tcW w:w="1170" w:type="dxa"/>
            <w:vAlign w:val="center"/>
          </w:tcPr>
          <w:p w:rsidR="001D068A" w:rsidRDefault="0001319B" w:rsidP="000E3F3F">
            <w:pPr>
              <w:spacing w:after="0"/>
              <w:rPr>
                <w:rFonts w:ascii="Calibri" w:hAnsi="Calibri" w:cstheme="minorHAnsi"/>
                <w:spacing w:val="-6"/>
                <w:kern w:val="2"/>
              </w:rPr>
            </w:pPr>
            <w:r>
              <w:rPr>
                <w:rFonts w:ascii="Calibri" w:hAnsi="Calibri" w:cstheme="minorHAnsi"/>
                <w:spacing w:val="-6"/>
                <w:kern w:val="2"/>
              </w:rPr>
              <w:lastRenderedPageBreak/>
              <w:t>1,2,3,5</w:t>
            </w:r>
          </w:p>
        </w:tc>
        <w:tc>
          <w:tcPr>
            <w:tcW w:w="1260" w:type="dxa"/>
          </w:tcPr>
          <w:p w:rsidR="001D068A" w:rsidRDefault="0001319B" w:rsidP="000E3F3F">
            <w:pPr>
              <w:spacing w:after="0"/>
              <w:rPr>
                <w:rFonts w:ascii="Calibri" w:hAnsi="Calibri" w:cstheme="minorHAnsi"/>
                <w:spacing w:val="-6"/>
                <w:kern w:val="2"/>
              </w:rPr>
            </w:pPr>
            <w:r>
              <w:rPr>
                <w:rFonts w:ascii="Calibri" w:hAnsi="Calibri" w:cstheme="minorHAnsi"/>
                <w:spacing w:val="-6"/>
                <w:kern w:val="2"/>
              </w:rPr>
              <w:t>1,3,4,5</w:t>
            </w:r>
          </w:p>
        </w:tc>
        <w:tc>
          <w:tcPr>
            <w:tcW w:w="1080" w:type="dxa"/>
            <w:vAlign w:val="center"/>
          </w:tcPr>
          <w:p w:rsidR="001D068A" w:rsidRDefault="00A41693" w:rsidP="000E3F3F">
            <w:pPr>
              <w:spacing w:after="0"/>
              <w:rPr>
                <w:rFonts w:ascii="Calibri" w:hAnsi="Calibri" w:cstheme="minorHAnsi"/>
                <w:spacing w:val="-6"/>
                <w:kern w:val="2"/>
              </w:rPr>
            </w:pPr>
            <w:r>
              <w:rPr>
                <w:rFonts w:ascii="Calibri" w:hAnsi="Calibri" w:cstheme="minorHAnsi"/>
                <w:spacing w:val="-6"/>
                <w:kern w:val="2"/>
              </w:rPr>
              <w:t>KS,</w:t>
            </w:r>
            <w:r w:rsidR="00F237AD">
              <w:rPr>
                <w:rFonts w:ascii="Calibri" w:hAnsi="Calibri" w:cstheme="minorHAnsi"/>
                <w:spacing w:val="-6"/>
                <w:kern w:val="2"/>
              </w:rPr>
              <w:t>MH</w:t>
            </w:r>
          </w:p>
        </w:tc>
        <w:tc>
          <w:tcPr>
            <w:tcW w:w="1350" w:type="dxa"/>
            <w:vAlign w:val="center"/>
          </w:tcPr>
          <w:p w:rsidR="001D068A" w:rsidRDefault="00A41693" w:rsidP="000E3F3F">
            <w:pPr>
              <w:spacing w:after="0"/>
              <w:rPr>
                <w:rFonts w:ascii="Calibri" w:hAnsi="Calibri" w:cstheme="minorHAnsi"/>
                <w:spacing w:val="-6"/>
                <w:kern w:val="2"/>
              </w:rPr>
            </w:pPr>
            <w:r>
              <w:rPr>
                <w:rFonts w:ascii="Calibri" w:hAnsi="Calibri" w:cstheme="minorHAnsi"/>
                <w:spacing w:val="-6"/>
                <w:kern w:val="2"/>
              </w:rPr>
              <w:t>1140-1150</w:t>
            </w:r>
          </w:p>
        </w:tc>
      </w:tr>
      <w:tr w:rsidR="00CD5669" w:rsidRPr="008E5222" w:rsidTr="00A41693">
        <w:tc>
          <w:tcPr>
            <w:tcW w:w="4410" w:type="dxa"/>
            <w:vAlign w:val="center"/>
          </w:tcPr>
          <w:p w:rsidR="00CD5669" w:rsidRPr="00FD03D9" w:rsidRDefault="004716C8" w:rsidP="000E3F3F">
            <w:pPr>
              <w:spacing w:after="0"/>
              <w:rPr>
                <w:rFonts w:ascii="Calibri" w:hAnsi="Calibri" w:cstheme="minorHAnsi"/>
                <w:b/>
                <w:bCs/>
                <w:spacing w:val="-6"/>
                <w:kern w:val="2"/>
                <w:szCs w:val="20"/>
              </w:rPr>
            </w:pPr>
            <w:r>
              <w:rPr>
                <w:rFonts w:ascii="Calibri" w:hAnsi="Calibri" w:cstheme="minorHAnsi"/>
                <w:b/>
                <w:bCs/>
                <w:spacing w:val="-6"/>
                <w:kern w:val="2"/>
                <w:szCs w:val="20"/>
              </w:rPr>
              <w:lastRenderedPageBreak/>
              <w:t xml:space="preserve">Staff </w:t>
            </w:r>
          </w:p>
        </w:tc>
        <w:tc>
          <w:tcPr>
            <w:tcW w:w="5040" w:type="dxa"/>
            <w:vAlign w:val="center"/>
          </w:tcPr>
          <w:p w:rsidR="00CD5669" w:rsidRDefault="00E165A1" w:rsidP="000E3F3F">
            <w:pPr>
              <w:spacing w:after="0"/>
              <w:rPr>
                <w:rFonts w:ascii="Calibri" w:hAnsi="Calibri" w:cstheme="minorHAnsi"/>
                <w:spacing w:val="-6"/>
                <w:kern w:val="2"/>
              </w:rPr>
            </w:pPr>
            <w:r>
              <w:rPr>
                <w:rFonts w:ascii="Calibri" w:hAnsi="Calibri" w:cstheme="minorHAnsi"/>
                <w:spacing w:val="-6"/>
                <w:kern w:val="2"/>
              </w:rPr>
              <w:t>Discussion:</w:t>
            </w:r>
          </w:p>
          <w:p w:rsidR="00E165A1" w:rsidRDefault="00E165A1" w:rsidP="00E165A1">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Standing expectation for all staff (of any department) is to list them in the chart including all visitors/vendors</w:t>
            </w:r>
          </w:p>
          <w:p w:rsidR="00A41693" w:rsidRPr="00A41693" w:rsidRDefault="00E165A1" w:rsidP="00A41693">
            <w:pPr>
              <w:pStyle w:val="ListParagraph"/>
              <w:numPr>
                <w:ilvl w:val="0"/>
                <w:numId w:val="37"/>
              </w:numPr>
              <w:spacing w:after="0"/>
              <w:rPr>
                <w:rFonts w:ascii="Calibri" w:hAnsi="Calibri" w:cstheme="minorHAnsi"/>
                <w:spacing w:val="-6"/>
                <w:kern w:val="2"/>
              </w:rPr>
            </w:pPr>
            <w:r>
              <w:rPr>
                <w:rFonts w:ascii="Calibri" w:hAnsi="Calibri" w:cstheme="minorHAnsi"/>
                <w:spacing w:val="-6"/>
                <w:kern w:val="2"/>
              </w:rPr>
              <w:t xml:space="preserve">Multiple radiology personnel must be charted accordingly  (if the primary tech does not stay for the entire case or is relieved, the relief person or additional tech must be added into the staffing list) </w:t>
            </w:r>
          </w:p>
          <w:p w:rsidR="00E165A1" w:rsidRDefault="00E165A1" w:rsidP="00E165A1">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Standing expectation for all staff (of any department)</w:t>
            </w:r>
            <w:r w:rsidR="00A41693">
              <w:rPr>
                <w:rFonts w:ascii="Calibri" w:hAnsi="Calibri" w:cstheme="minorHAnsi"/>
                <w:spacing w:val="-6"/>
                <w:kern w:val="2"/>
              </w:rPr>
              <w:t xml:space="preserve"> including all visitors/vendors</w:t>
            </w:r>
            <w:r>
              <w:rPr>
                <w:rFonts w:ascii="Calibri" w:hAnsi="Calibri" w:cstheme="minorHAnsi"/>
                <w:spacing w:val="-6"/>
                <w:kern w:val="2"/>
              </w:rPr>
              <w:t xml:space="preserve"> is to time each person (in and out) of the room for both temporary relief (i.e. morning break/lunch/afternoon break) as well as permanent relief (i.e. end of shift) </w:t>
            </w:r>
          </w:p>
          <w:p w:rsidR="00A41693" w:rsidRDefault="00A41693" w:rsidP="00A41693">
            <w:pPr>
              <w:pStyle w:val="ListParagraph"/>
              <w:spacing w:after="0"/>
              <w:rPr>
                <w:rFonts w:ascii="Calibri" w:hAnsi="Calibri" w:cstheme="minorHAnsi"/>
                <w:spacing w:val="-6"/>
                <w:kern w:val="2"/>
              </w:rPr>
            </w:pPr>
          </w:p>
          <w:p w:rsidR="00A41693" w:rsidRDefault="00A41693" w:rsidP="00A41693">
            <w:pPr>
              <w:spacing w:after="0"/>
              <w:rPr>
                <w:rFonts w:ascii="Calibri" w:hAnsi="Calibri" w:cstheme="minorHAnsi"/>
                <w:spacing w:val="-6"/>
                <w:kern w:val="2"/>
              </w:rPr>
            </w:pPr>
            <w:r>
              <w:rPr>
                <w:rFonts w:ascii="Calibri" w:hAnsi="Calibri" w:cstheme="minorHAnsi"/>
                <w:spacing w:val="-6"/>
                <w:kern w:val="2"/>
              </w:rPr>
              <w:t>Follow Up:</w:t>
            </w:r>
          </w:p>
          <w:p w:rsidR="00A41693" w:rsidRPr="00A41693" w:rsidRDefault="00A41693" w:rsidP="00A41693">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KM reach out to Radiology Department Educator to review/discuss how Radiology Tech assignments are made. Plan to discuss how workflow with assignments affect OR cases/present how continuity of care with assignments not only helps build rapport with staff in room but supports efficiency throughout day</w:t>
            </w:r>
          </w:p>
        </w:tc>
        <w:tc>
          <w:tcPr>
            <w:tcW w:w="1170" w:type="dxa"/>
            <w:vAlign w:val="center"/>
          </w:tcPr>
          <w:p w:rsidR="00CD5669" w:rsidRPr="008E5222" w:rsidRDefault="0001319B" w:rsidP="000E3F3F">
            <w:pPr>
              <w:spacing w:after="0"/>
              <w:rPr>
                <w:rFonts w:ascii="Calibri" w:hAnsi="Calibri" w:cstheme="minorHAnsi"/>
                <w:spacing w:val="-6"/>
                <w:kern w:val="2"/>
              </w:rPr>
            </w:pPr>
            <w:r>
              <w:rPr>
                <w:rFonts w:ascii="Calibri" w:hAnsi="Calibri" w:cstheme="minorHAnsi"/>
                <w:spacing w:val="-6"/>
                <w:kern w:val="2"/>
              </w:rPr>
              <w:t>1,5,7</w:t>
            </w:r>
          </w:p>
        </w:tc>
        <w:tc>
          <w:tcPr>
            <w:tcW w:w="1260" w:type="dxa"/>
          </w:tcPr>
          <w:p w:rsidR="00CD5669" w:rsidRPr="008E5222" w:rsidRDefault="0001319B" w:rsidP="000E3F3F">
            <w:pPr>
              <w:spacing w:after="0"/>
              <w:rPr>
                <w:rFonts w:ascii="Calibri" w:hAnsi="Calibri" w:cstheme="minorHAnsi"/>
                <w:spacing w:val="-6"/>
                <w:kern w:val="2"/>
              </w:rPr>
            </w:pPr>
            <w:r>
              <w:rPr>
                <w:rFonts w:ascii="Calibri" w:hAnsi="Calibri" w:cstheme="minorHAnsi"/>
                <w:spacing w:val="-6"/>
                <w:kern w:val="2"/>
              </w:rPr>
              <w:t>1,2,3,5</w:t>
            </w:r>
          </w:p>
        </w:tc>
        <w:tc>
          <w:tcPr>
            <w:tcW w:w="1080" w:type="dxa"/>
            <w:vAlign w:val="center"/>
          </w:tcPr>
          <w:p w:rsidR="00CD5669" w:rsidRPr="008E5222" w:rsidRDefault="00A41693"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A41693" w:rsidP="000E3F3F">
            <w:pPr>
              <w:spacing w:after="0"/>
              <w:rPr>
                <w:rFonts w:ascii="Calibri" w:hAnsi="Calibri" w:cstheme="minorHAnsi"/>
                <w:spacing w:val="-6"/>
                <w:kern w:val="2"/>
              </w:rPr>
            </w:pPr>
            <w:r>
              <w:rPr>
                <w:rFonts w:ascii="Calibri" w:hAnsi="Calibri" w:cstheme="minorHAnsi"/>
                <w:spacing w:val="-6"/>
                <w:kern w:val="2"/>
              </w:rPr>
              <w:t>1150-1200</w:t>
            </w:r>
          </w:p>
        </w:tc>
      </w:tr>
      <w:tr w:rsidR="00CD5669" w:rsidRPr="008E5222" w:rsidTr="00A41693">
        <w:tc>
          <w:tcPr>
            <w:tcW w:w="4410" w:type="dxa"/>
            <w:vAlign w:val="center"/>
          </w:tcPr>
          <w:p w:rsidR="004D2265" w:rsidRDefault="004D2265" w:rsidP="000E3F3F">
            <w:pPr>
              <w:spacing w:after="0"/>
              <w:rPr>
                <w:rFonts w:ascii="Calibri" w:hAnsi="Calibri" w:cstheme="minorHAnsi"/>
                <w:spacing w:val="-6"/>
                <w:kern w:val="2"/>
                <w:szCs w:val="20"/>
              </w:rPr>
            </w:pPr>
          </w:p>
          <w:p w:rsidR="004D2265" w:rsidRDefault="004D2265" w:rsidP="000E3F3F">
            <w:pPr>
              <w:spacing w:after="0"/>
              <w:rPr>
                <w:rFonts w:ascii="Calibri" w:hAnsi="Calibri" w:cstheme="minorHAnsi"/>
                <w:spacing w:val="-6"/>
                <w:kern w:val="2"/>
                <w:szCs w:val="20"/>
              </w:rPr>
            </w:pPr>
          </w:p>
          <w:p w:rsidR="004D2265" w:rsidRDefault="004D2265" w:rsidP="000E3F3F">
            <w:pPr>
              <w:spacing w:after="0"/>
              <w:rPr>
                <w:rFonts w:ascii="Calibri" w:hAnsi="Calibri" w:cstheme="minorHAnsi"/>
                <w:spacing w:val="-6"/>
                <w:kern w:val="2"/>
                <w:szCs w:val="20"/>
              </w:rPr>
            </w:pPr>
          </w:p>
          <w:p w:rsidR="004D2265" w:rsidRPr="00592E9D" w:rsidRDefault="004D2265" w:rsidP="000E3F3F">
            <w:pPr>
              <w:spacing w:after="0"/>
              <w:rPr>
                <w:rFonts w:ascii="Calibri" w:hAnsi="Calibri" w:cstheme="minorHAnsi"/>
                <w:spacing w:val="-6"/>
                <w:kern w:val="2"/>
                <w:szCs w:val="20"/>
              </w:rPr>
            </w:pPr>
          </w:p>
        </w:tc>
        <w:tc>
          <w:tcPr>
            <w:tcW w:w="5040" w:type="dxa"/>
            <w:vAlign w:val="center"/>
          </w:tcPr>
          <w:p w:rsidR="007F1572" w:rsidRPr="008E5222" w:rsidRDefault="007F1572" w:rsidP="009565E3">
            <w:pPr>
              <w:spacing w:after="0"/>
              <w:rPr>
                <w:rFonts w:ascii="Calibri" w:hAnsi="Calibri" w:cstheme="minorHAnsi"/>
                <w:spacing w:val="-6"/>
                <w:kern w:val="2"/>
              </w:rPr>
            </w:pPr>
          </w:p>
        </w:tc>
        <w:tc>
          <w:tcPr>
            <w:tcW w:w="1170" w:type="dxa"/>
            <w:vAlign w:val="center"/>
          </w:tcPr>
          <w:p w:rsidR="00CD5669" w:rsidRPr="008E5222" w:rsidRDefault="00CD5669" w:rsidP="000E3F3F">
            <w:pPr>
              <w:spacing w:after="0"/>
              <w:rPr>
                <w:rFonts w:ascii="Calibri" w:hAnsi="Calibri" w:cstheme="minorHAnsi"/>
                <w:spacing w:val="-6"/>
                <w:kern w:val="2"/>
              </w:rPr>
            </w:pPr>
          </w:p>
        </w:tc>
        <w:tc>
          <w:tcPr>
            <w:tcW w:w="1260" w:type="dxa"/>
          </w:tcPr>
          <w:p w:rsidR="00CD5669" w:rsidRPr="008E5222" w:rsidRDefault="00CD5669" w:rsidP="000E3F3F">
            <w:pPr>
              <w:spacing w:after="0"/>
              <w:rPr>
                <w:rFonts w:ascii="Calibri" w:hAnsi="Calibri" w:cstheme="minorHAnsi"/>
                <w:spacing w:val="-6"/>
                <w:kern w:val="2"/>
              </w:rPr>
            </w:pPr>
          </w:p>
        </w:tc>
        <w:tc>
          <w:tcPr>
            <w:tcW w:w="1080" w:type="dxa"/>
            <w:vAlign w:val="center"/>
          </w:tcPr>
          <w:p w:rsidR="00CD5669" w:rsidRPr="008E5222" w:rsidRDefault="00CD5669" w:rsidP="000E3F3F">
            <w:pPr>
              <w:spacing w:after="0"/>
              <w:rPr>
                <w:rFonts w:ascii="Calibri" w:hAnsi="Calibri" w:cstheme="minorHAnsi"/>
                <w:spacing w:val="-6"/>
                <w:kern w:val="2"/>
              </w:rPr>
            </w:pPr>
          </w:p>
        </w:tc>
        <w:tc>
          <w:tcPr>
            <w:tcW w:w="1350" w:type="dxa"/>
            <w:vAlign w:val="center"/>
          </w:tcPr>
          <w:p w:rsidR="00CD5669" w:rsidRPr="008E5222" w:rsidRDefault="00CD5669" w:rsidP="000E3F3F">
            <w:pPr>
              <w:spacing w:after="0"/>
              <w:rPr>
                <w:rFonts w:ascii="Calibri" w:hAnsi="Calibri" w:cstheme="minorHAnsi"/>
                <w:spacing w:val="-6"/>
                <w:kern w:val="2"/>
              </w:rPr>
            </w:pPr>
          </w:p>
        </w:tc>
      </w:tr>
    </w:tbl>
    <w:p w:rsidR="007A7B83" w:rsidRPr="008E5222" w:rsidRDefault="007A7B83" w:rsidP="006D486B">
      <w:pPr>
        <w:spacing w:after="0"/>
        <w:rPr>
          <w:rFonts w:ascii="Calibri" w:eastAsia="Arial Unicode MS" w:hAnsi="Calibri" w:cstheme="minorHAnsi"/>
          <w:b/>
          <w:bCs/>
          <w:spacing w:val="-6"/>
          <w:kern w:val="2"/>
          <w:szCs w:val="10"/>
        </w:rPr>
      </w:pPr>
    </w:p>
    <w:p w:rsidR="002B701E" w:rsidRDefault="002B701E" w:rsidP="002B701E">
      <w:pPr>
        <w:spacing w:after="0"/>
        <w:rPr>
          <w:rFonts w:ascii="Calibri" w:hAnsi="Calibri"/>
          <w:b/>
          <w:bCs/>
          <w:spacing w:val="-6"/>
          <w:kern w:val="2"/>
          <w:szCs w:val="20"/>
        </w:rPr>
      </w:pPr>
    </w:p>
    <w:p w:rsidR="002B701E" w:rsidRPr="002B701E" w:rsidRDefault="002B701E" w:rsidP="002B701E">
      <w:pPr>
        <w:spacing w:after="0"/>
        <w:rPr>
          <w:rFonts w:ascii="Calibri" w:hAnsi="Calibri"/>
          <w:b/>
          <w:bCs/>
          <w:spacing w:val="-6"/>
          <w:kern w:val="2"/>
          <w:szCs w:val="20"/>
        </w:rPr>
      </w:pPr>
    </w:p>
    <w:tbl>
      <w:tblPr>
        <w:tblW w:w="14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058"/>
        <w:gridCol w:w="2059"/>
        <w:gridCol w:w="2058"/>
        <w:gridCol w:w="2059"/>
        <w:gridCol w:w="2058"/>
        <w:gridCol w:w="2059"/>
      </w:tblGrid>
      <w:tr w:rsidR="002B701E" w:rsidRPr="002B701E" w:rsidTr="00CC2481">
        <w:tc>
          <w:tcPr>
            <w:tcW w:w="14409" w:type="dxa"/>
            <w:gridSpan w:val="7"/>
            <w:shd w:val="clear" w:color="auto" w:fill="auto"/>
            <w:vAlign w:val="center"/>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UCHealth Global Path to Success</w:t>
            </w:r>
          </w:p>
        </w:tc>
      </w:tr>
      <w:tr w:rsidR="002B701E" w:rsidRPr="002B701E" w:rsidTr="00CC2481">
        <w:tc>
          <w:tcPr>
            <w:tcW w:w="2058" w:type="dxa"/>
            <w:shd w:val="clear" w:color="auto" w:fill="CC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1. Quality and Patient Experience</w:t>
            </w:r>
          </w:p>
        </w:tc>
        <w:tc>
          <w:tcPr>
            <w:tcW w:w="2058" w:type="dxa"/>
            <w:shd w:val="clear" w:color="auto" w:fill="CC0000"/>
            <w:vAlign w:val="bottom"/>
          </w:tcPr>
          <w:p w:rsidR="002B701E" w:rsidRPr="002B701E" w:rsidRDefault="002B701E" w:rsidP="002B701E">
            <w:pPr>
              <w:spacing w:after="0"/>
              <w:rPr>
                <w:rFonts w:ascii="Calibri" w:hAnsi="Calibri"/>
                <w:b/>
                <w:spacing w:val="-6"/>
                <w:kern w:val="2"/>
                <w:szCs w:val="20"/>
              </w:rPr>
            </w:pPr>
            <w:r w:rsidRPr="002B701E">
              <w:rPr>
                <w:rFonts w:ascii="Calibri" w:hAnsi="Calibri"/>
                <w:b/>
                <w:spacing w:val="-6"/>
                <w:kern w:val="2"/>
                <w:szCs w:val="20"/>
              </w:rPr>
              <w:t xml:space="preserve">2. </w:t>
            </w:r>
            <w:r w:rsidRPr="002B701E">
              <w:rPr>
                <w:rFonts w:ascii="Calibri" w:hAnsi="Calibri"/>
                <w:b/>
                <w:bCs/>
                <w:spacing w:val="-6"/>
                <w:kern w:val="2"/>
                <w:szCs w:val="20"/>
              </w:rPr>
              <w:t>Engaged Workforce</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3.</w:t>
            </w:r>
            <w:r w:rsidRPr="002B701E">
              <w:rPr>
                <w:rFonts w:ascii="Calibri" w:hAnsi="Calibri"/>
                <w:b/>
                <w:spacing w:val="-6"/>
                <w:kern w:val="2"/>
                <w:szCs w:val="20"/>
              </w:rPr>
              <w:t xml:space="preserve"> Growth</w:t>
            </w:r>
          </w:p>
        </w:tc>
        <w:tc>
          <w:tcPr>
            <w:tcW w:w="2058"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4. Clinical &amp; Non-Clinical Integration</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5. Deliver Superior Value</w:t>
            </w:r>
          </w:p>
        </w:tc>
        <w:tc>
          <w:tcPr>
            <w:tcW w:w="2058"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6. Academic Enterprise</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7. Mission, Vision and Brand Awareness</w:t>
            </w:r>
          </w:p>
        </w:tc>
      </w:tr>
      <w:tr w:rsidR="002B701E" w:rsidRPr="002B701E" w:rsidTr="00CC2481">
        <w:tc>
          <w:tcPr>
            <w:tcW w:w="2058" w:type="dxa"/>
          </w:tcPr>
          <w:p w:rsidR="002B701E" w:rsidRPr="002B701E" w:rsidRDefault="002B701E" w:rsidP="002B701E">
            <w:pPr>
              <w:spacing w:after="0"/>
              <w:rPr>
                <w:rFonts w:ascii="Calibri" w:hAnsi="Calibri"/>
                <w:b/>
                <w:spacing w:val="-6"/>
                <w:kern w:val="2"/>
                <w:szCs w:val="20"/>
              </w:rPr>
            </w:pPr>
            <w:r w:rsidRPr="002B701E">
              <w:rPr>
                <w:rFonts w:ascii="Calibri" w:hAnsi="Calibri"/>
                <w:spacing w:val="-6"/>
                <w:kern w:val="2"/>
                <w:szCs w:val="20"/>
              </w:rPr>
              <w:t xml:space="preserve">Ensure universal, distinctive standard of quality and patient experience. </w:t>
            </w:r>
          </w:p>
        </w:tc>
        <w:tc>
          <w:tcPr>
            <w:tcW w:w="2058"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Attract, retain and excite a unified and engaged workforce.</w:t>
            </w:r>
          </w:p>
        </w:tc>
        <w:tc>
          <w:tcPr>
            <w:tcW w:w="2059"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Enhance reach and relevance through growth.</w:t>
            </w:r>
          </w:p>
        </w:tc>
        <w:tc>
          <w:tcPr>
            <w:tcW w:w="2058"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Integrate clinically and non-clinically across our system.</w:t>
            </w:r>
          </w:p>
        </w:tc>
        <w:tc>
          <w:tcPr>
            <w:tcW w:w="2059"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Deliver superior value to remain an option for most </w:t>
            </w:r>
            <w:proofErr w:type="spellStart"/>
            <w:r w:rsidRPr="002B701E">
              <w:rPr>
                <w:rFonts w:ascii="Calibri" w:hAnsi="Calibri"/>
                <w:spacing w:val="-6"/>
                <w:kern w:val="2"/>
                <w:szCs w:val="20"/>
              </w:rPr>
              <w:t>payor</w:t>
            </w:r>
            <w:proofErr w:type="spellEnd"/>
            <w:r w:rsidRPr="002B701E">
              <w:rPr>
                <w:rFonts w:ascii="Calibri" w:hAnsi="Calibri"/>
                <w:spacing w:val="-6"/>
                <w:kern w:val="2"/>
                <w:szCs w:val="20"/>
              </w:rPr>
              <w:t xml:space="preserve"> plans.</w:t>
            </w:r>
          </w:p>
        </w:tc>
        <w:tc>
          <w:tcPr>
            <w:tcW w:w="2058"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Maintain, enhance and leverage the academic enterprise. </w:t>
            </w:r>
          </w:p>
        </w:tc>
        <w:tc>
          <w:tcPr>
            <w:tcW w:w="2059"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Enhance messaging around the mission, vision and brand </w:t>
            </w:r>
          </w:p>
        </w:tc>
      </w:tr>
    </w:tbl>
    <w:p w:rsidR="002B701E" w:rsidRPr="002B701E" w:rsidRDefault="002B701E" w:rsidP="002B701E">
      <w:pPr>
        <w:spacing w:after="0"/>
        <w:rPr>
          <w:rFonts w:ascii="Calibri" w:hAnsi="Calibri"/>
          <w:b/>
          <w:spacing w:val="-6"/>
          <w:kern w:val="2"/>
          <w:szCs w:val="20"/>
        </w:rPr>
      </w:pPr>
    </w:p>
    <w:tbl>
      <w:tblPr>
        <w:tblW w:w="14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610"/>
        <w:gridCol w:w="2970"/>
        <w:gridCol w:w="3330"/>
        <w:gridCol w:w="2889"/>
      </w:tblGrid>
      <w:tr w:rsidR="002B701E" w:rsidRPr="002B701E" w:rsidTr="00CC2481">
        <w:tc>
          <w:tcPr>
            <w:tcW w:w="14409" w:type="dxa"/>
            <w:gridSpan w:val="5"/>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Magnet Model Components</w:t>
            </w:r>
          </w:p>
        </w:tc>
      </w:tr>
      <w:tr w:rsidR="002B701E" w:rsidRPr="002B701E" w:rsidTr="00CC2481">
        <w:trPr>
          <w:trHeight w:val="323"/>
        </w:trPr>
        <w:tc>
          <w:tcPr>
            <w:tcW w:w="2610" w:type="dxa"/>
            <w:shd w:val="clear" w:color="auto" w:fill="C0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1. Transformational Leadership</w:t>
            </w:r>
          </w:p>
        </w:tc>
        <w:tc>
          <w:tcPr>
            <w:tcW w:w="2610" w:type="dxa"/>
            <w:shd w:val="clear" w:color="auto" w:fill="C00000"/>
            <w:vAlign w:val="bottom"/>
          </w:tcPr>
          <w:p w:rsidR="002B701E" w:rsidRPr="002B701E" w:rsidRDefault="002B701E" w:rsidP="002B701E">
            <w:pPr>
              <w:spacing w:after="0"/>
              <w:rPr>
                <w:rFonts w:ascii="Calibri" w:hAnsi="Calibri"/>
                <w:b/>
                <w:spacing w:val="-6"/>
                <w:kern w:val="2"/>
                <w:szCs w:val="20"/>
              </w:rPr>
            </w:pPr>
            <w:r w:rsidRPr="002B701E">
              <w:rPr>
                <w:rFonts w:ascii="Calibri" w:hAnsi="Calibri"/>
                <w:b/>
                <w:spacing w:val="-6"/>
                <w:kern w:val="2"/>
                <w:szCs w:val="20"/>
              </w:rPr>
              <w:t>2</w:t>
            </w:r>
            <w:r w:rsidRPr="002B701E">
              <w:rPr>
                <w:rFonts w:ascii="Calibri" w:hAnsi="Calibri"/>
                <w:b/>
                <w:bCs/>
                <w:spacing w:val="-6"/>
                <w:kern w:val="2"/>
                <w:szCs w:val="20"/>
              </w:rPr>
              <w:t>. Structural Empowerment</w:t>
            </w:r>
          </w:p>
        </w:tc>
        <w:tc>
          <w:tcPr>
            <w:tcW w:w="2970" w:type="dxa"/>
            <w:shd w:val="clear" w:color="auto" w:fill="C0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3.</w:t>
            </w:r>
            <w:r w:rsidRPr="002B701E">
              <w:rPr>
                <w:rFonts w:ascii="Calibri" w:hAnsi="Calibri"/>
                <w:b/>
                <w:spacing w:val="-6"/>
                <w:kern w:val="2"/>
                <w:szCs w:val="20"/>
              </w:rPr>
              <w:t xml:space="preserve"> Exemplary Professional Practice</w:t>
            </w:r>
          </w:p>
        </w:tc>
        <w:tc>
          <w:tcPr>
            <w:tcW w:w="3330" w:type="dxa"/>
            <w:shd w:val="clear" w:color="auto" w:fill="C0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4. New Knowledge, Innovations &amp; Improvements</w:t>
            </w:r>
          </w:p>
        </w:tc>
        <w:tc>
          <w:tcPr>
            <w:tcW w:w="2889" w:type="dxa"/>
            <w:shd w:val="clear" w:color="auto" w:fill="C0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bCs/>
                <w:spacing w:val="-6"/>
                <w:kern w:val="2"/>
                <w:szCs w:val="20"/>
              </w:rPr>
              <w:t>5. Empirical Outcomes</w:t>
            </w:r>
          </w:p>
        </w:tc>
      </w:tr>
      <w:tr w:rsidR="002B701E" w:rsidRPr="002B701E" w:rsidTr="00CC2481">
        <w:tc>
          <w:tcPr>
            <w:tcW w:w="261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 xml:space="preserve">Leadership that results in extraordinary outcomes by empowering, influencing, and motivating others. </w:t>
            </w:r>
          </w:p>
        </w:tc>
        <w:tc>
          <w:tcPr>
            <w:tcW w:w="261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 xml:space="preserve">Strategies used to support shared leadership decision-making, life-long learning and professional development. </w:t>
            </w:r>
          </w:p>
        </w:tc>
        <w:tc>
          <w:tcPr>
            <w:tcW w:w="2970" w:type="dxa"/>
          </w:tcPr>
          <w:p w:rsidR="002B701E" w:rsidRPr="002B701E" w:rsidRDefault="002B701E" w:rsidP="002B701E">
            <w:pPr>
              <w:spacing w:after="0"/>
              <w:rPr>
                <w:rFonts w:ascii="Calibri" w:hAnsi="Calibri"/>
                <w:spacing w:val="-6"/>
                <w:kern w:val="2"/>
                <w:szCs w:val="20"/>
              </w:rPr>
            </w:pPr>
            <w:proofErr w:type="spellStart"/>
            <w:r w:rsidRPr="002B701E">
              <w:rPr>
                <w:rFonts w:ascii="Calibri" w:hAnsi="Calibri"/>
                <w:spacing w:val="-6"/>
                <w:kern w:val="2"/>
                <w:szCs w:val="20"/>
              </w:rPr>
              <w:t>Interprofessional</w:t>
            </w:r>
            <w:proofErr w:type="spellEnd"/>
            <w:r w:rsidRPr="002B701E">
              <w:rPr>
                <w:rFonts w:ascii="Calibri" w:hAnsi="Calibri"/>
                <w:spacing w:val="-6"/>
                <w:kern w:val="2"/>
                <w:szCs w:val="20"/>
              </w:rPr>
              <w:t xml:space="preserve"> collaboration to ensure patient safety resulting in high-quality outcomes.</w:t>
            </w:r>
          </w:p>
        </w:tc>
        <w:tc>
          <w:tcPr>
            <w:tcW w:w="333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Integration of evidence-based practice and research into practice. New ways of achieving high-quality, effective and efficient care through innovation.</w:t>
            </w:r>
          </w:p>
        </w:tc>
        <w:tc>
          <w:tcPr>
            <w:tcW w:w="2889" w:type="dxa"/>
          </w:tcPr>
          <w:p w:rsidR="002B701E" w:rsidRPr="002B701E" w:rsidRDefault="002B701E" w:rsidP="002B701E">
            <w:pPr>
              <w:spacing w:after="0"/>
              <w:rPr>
                <w:rFonts w:ascii="Calibri" w:hAnsi="Calibri"/>
                <w:bCs/>
                <w:spacing w:val="-6"/>
                <w:kern w:val="2"/>
                <w:szCs w:val="20"/>
              </w:rPr>
            </w:pPr>
            <w:r w:rsidRPr="002B701E">
              <w:rPr>
                <w:rFonts w:ascii="Calibri" w:hAnsi="Calibri"/>
                <w:bCs/>
                <w:spacing w:val="-6"/>
                <w:kern w:val="2"/>
                <w:szCs w:val="20"/>
              </w:rPr>
              <w:t xml:space="preserve">Measurable outcomes related to the impact of structure and process on patients, staff, and the organization. </w:t>
            </w:r>
          </w:p>
        </w:tc>
      </w:tr>
    </w:tbl>
    <w:p w:rsidR="00F233B0" w:rsidRPr="00736103" w:rsidRDefault="00F233B0" w:rsidP="00212659">
      <w:pPr>
        <w:spacing w:after="0"/>
        <w:rPr>
          <w:rFonts w:ascii="Calibri" w:hAnsi="Calibri"/>
          <w:spacing w:val="-6"/>
          <w:kern w:val="2"/>
          <w:szCs w:val="20"/>
        </w:rPr>
      </w:pPr>
    </w:p>
    <w:sectPr w:rsidR="00F233B0" w:rsidRPr="00736103" w:rsidSect="008D4834">
      <w:headerReference w:type="default" r:id="rId8"/>
      <w:footerReference w:type="default" r:id="rId9"/>
      <w:footerReference w:type="first" r:id="rId10"/>
      <w:pgSz w:w="15840" w:h="12240" w:orient="landscape" w:code="1"/>
      <w:pgMar w:top="108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9D" w:rsidRDefault="005E169D">
      <w:r>
        <w:separator/>
      </w:r>
    </w:p>
  </w:endnote>
  <w:endnote w:type="continuationSeparator" w:id="0">
    <w:p w:rsidR="005E169D" w:rsidRDefault="005E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Pr="00FA71DF" w:rsidRDefault="003F639D" w:rsidP="001B31A1">
    <w:pPr>
      <w:jc w:val="center"/>
      <w:rPr>
        <w:rFonts w:ascii="Calibri" w:hAnsi="Calibri"/>
        <w:b/>
        <w:i/>
        <w:szCs w:val="28"/>
      </w:rPr>
    </w:pPr>
    <w:r w:rsidRPr="00FA71DF">
      <w:rPr>
        <w:rFonts w:ascii="Calibri" w:hAnsi="Calibri"/>
        <w:b/>
        <w:i/>
        <w:szCs w:val="28"/>
      </w:rPr>
      <w:t>Performance Excellence in each Global Path to Success Measure will drive the Mission, Vision and Values of UCHealth.</w:t>
    </w:r>
  </w:p>
  <w:p w:rsidR="003F639D" w:rsidRPr="00FA71DF" w:rsidRDefault="003F639D" w:rsidP="00FA71DF">
    <w:pPr>
      <w:pStyle w:val="Footer"/>
      <w:spacing w:after="0"/>
      <w:jc w:val="center"/>
      <w:rPr>
        <w:rFonts w:ascii="Calibri" w:hAnsi="Calibri"/>
        <w:sz w:val="18"/>
        <w:szCs w:val="18"/>
      </w:rPr>
    </w:pPr>
    <w:r w:rsidRPr="00FA71DF">
      <w:rPr>
        <w:rFonts w:ascii="Calibri" w:hAnsi="Calibri"/>
        <w:sz w:val="18"/>
        <w:szCs w:val="18"/>
      </w:rPr>
      <w:t xml:space="preserve">Page </w:t>
    </w:r>
    <w:r w:rsidRPr="00FA71DF">
      <w:rPr>
        <w:rStyle w:val="PageNumber"/>
        <w:rFonts w:ascii="Calibri" w:hAnsi="Calibri"/>
        <w:sz w:val="18"/>
        <w:szCs w:val="18"/>
      </w:rPr>
      <w:fldChar w:fldCharType="begin"/>
    </w:r>
    <w:r w:rsidRPr="00FA71DF">
      <w:rPr>
        <w:rStyle w:val="PageNumber"/>
        <w:rFonts w:ascii="Calibri" w:hAnsi="Calibri"/>
        <w:sz w:val="18"/>
        <w:szCs w:val="18"/>
      </w:rPr>
      <w:instrText xml:space="preserve"> PAGE </w:instrText>
    </w:r>
    <w:r w:rsidRPr="00FA71DF">
      <w:rPr>
        <w:rStyle w:val="PageNumber"/>
        <w:rFonts w:ascii="Calibri" w:hAnsi="Calibri"/>
        <w:sz w:val="18"/>
        <w:szCs w:val="18"/>
      </w:rPr>
      <w:fldChar w:fldCharType="separate"/>
    </w:r>
    <w:r w:rsidR="00113407">
      <w:rPr>
        <w:rStyle w:val="PageNumber"/>
        <w:rFonts w:ascii="Calibri" w:hAnsi="Calibri"/>
        <w:noProof/>
        <w:sz w:val="18"/>
        <w:szCs w:val="18"/>
      </w:rPr>
      <w:t>2</w:t>
    </w:r>
    <w:r w:rsidRPr="00FA71DF">
      <w:rPr>
        <w:rStyle w:val="PageNumber"/>
        <w:rFonts w:ascii="Calibri" w:hAnsi="Calibri"/>
        <w:sz w:val="18"/>
        <w:szCs w:val="18"/>
      </w:rPr>
      <w:fldChar w:fldCharType="end"/>
    </w:r>
    <w:r w:rsidRPr="00FA71DF">
      <w:rPr>
        <w:rStyle w:val="PageNumber"/>
        <w:rFonts w:ascii="Calibri" w:hAnsi="Calibri"/>
        <w:sz w:val="18"/>
        <w:szCs w:val="18"/>
      </w:rPr>
      <w:t xml:space="preserve"> of </w:t>
    </w:r>
    <w:r w:rsidRPr="00FA71DF">
      <w:rPr>
        <w:rStyle w:val="PageNumber"/>
        <w:rFonts w:ascii="Calibri" w:hAnsi="Calibri"/>
        <w:sz w:val="18"/>
        <w:szCs w:val="18"/>
      </w:rPr>
      <w:fldChar w:fldCharType="begin"/>
    </w:r>
    <w:r w:rsidRPr="00FA71DF">
      <w:rPr>
        <w:rStyle w:val="PageNumber"/>
        <w:rFonts w:ascii="Calibri" w:hAnsi="Calibri"/>
        <w:sz w:val="18"/>
        <w:szCs w:val="18"/>
      </w:rPr>
      <w:instrText xml:space="preserve"> NUMPAGES </w:instrText>
    </w:r>
    <w:r w:rsidRPr="00FA71DF">
      <w:rPr>
        <w:rStyle w:val="PageNumber"/>
        <w:rFonts w:ascii="Calibri" w:hAnsi="Calibri"/>
        <w:sz w:val="18"/>
        <w:szCs w:val="18"/>
      </w:rPr>
      <w:fldChar w:fldCharType="separate"/>
    </w:r>
    <w:r w:rsidR="00113407">
      <w:rPr>
        <w:rStyle w:val="PageNumber"/>
        <w:rFonts w:ascii="Calibri" w:hAnsi="Calibri"/>
        <w:noProof/>
        <w:sz w:val="18"/>
        <w:szCs w:val="18"/>
      </w:rPr>
      <w:t>5</w:t>
    </w:r>
    <w:r w:rsidRPr="00FA71DF">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Default="003F639D">
    <w:pPr>
      <w:pStyle w:val="Footer"/>
      <w:jc w:val="right"/>
      <w:rPr>
        <w:i/>
        <w:iCs/>
        <w:color w:val="999999"/>
        <w:sz w:val="18"/>
      </w:rPr>
    </w:pPr>
    <w:r>
      <w:rPr>
        <w:noProof/>
      </w:rPr>
      <w:drawing>
        <wp:anchor distT="0" distB="0" distL="114300" distR="114300" simplePos="0" relativeHeight="251656704" behindDoc="0" locked="0" layoutInCell="1" allowOverlap="1" wp14:anchorId="35A1A0C8" wp14:editId="14A1D833">
          <wp:simplePos x="0" y="0"/>
          <wp:positionH relativeFrom="column">
            <wp:posOffset>-342900</wp:posOffset>
          </wp:positionH>
          <wp:positionV relativeFrom="paragraph">
            <wp:posOffset>-100965</wp:posOffset>
          </wp:positionV>
          <wp:extent cx="1257300" cy="323850"/>
          <wp:effectExtent l="0" t="0" r="0" b="0"/>
          <wp:wrapNone/>
          <wp:docPr id="1" name="Picture 1" descr="Stud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999999"/>
        <w:sz w:val="18"/>
      </w:rPr>
      <w:sym w:font="Symbol" w:char="F0E3"/>
    </w:r>
    <w:r>
      <w:rPr>
        <w:i/>
        <w:iCs/>
        <w:color w:val="999999"/>
        <w:sz w:val="18"/>
      </w:rPr>
      <w:t xml:space="preserve"> Copyright 2002</w:t>
    </w:r>
    <w:r>
      <w:rPr>
        <w:color w:val="999999"/>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9D" w:rsidRDefault="005E169D">
      <w:r>
        <w:separator/>
      </w:r>
    </w:p>
  </w:footnote>
  <w:footnote w:type="continuationSeparator" w:id="0">
    <w:p w:rsidR="005E169D" w:rsidRDefault="005E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Pr="00437AF8" w:rsidRDefault="003F639D" w:rsidP="00F75209">
    <w:pPr>
      <w:rPr>
        <w:rFonts w:asciiTheme="minorHAnsi" w:hAnsiTheme="minorHAnsi" w:cstheme="minorHAnsi"/>
        <w:b/>
        <w:i/>
        <w:sz w:val="32"/>
      </w:rPr>
    </w:pPr>
    <w:r>
      <w:rPr>
        <w:noProof/>
      </w:rPr>
      <w:drawing>
        <wp:anchor distT="0" distB="0" distL="114300" distR="114300" simplePos="0" relativeHeight="251661824" behindDoc="1" locked="0" layoutInCell="1" allowOverlap="1" wp14:anchorId="04AE7670" wp14:editId="34025F69">
          <wp:simplePos x="0" y="0"/>
          <wp:positionH relativeFrom="column">
            <wp:posOffset>-13970</wp:posOffset>
          </wp:positionH>
          <wp:positionV relativeFrom="paragraph">
            <wp:posOffset>27305</wp:posOffset>
          </wp:positionV>
          <wp:extent cx="2171700" cy="139065"/>
          <wp:effectExtent l="0" t="0" r="0" b="0"/>
          <wp:wrapThrough wrapText="bothSides">
            <wp:wrapPolygon edited="0">
              <wp:start x="0" y="0"/>
              <wp:lineTo x="0" y="17753"/>
              <wp:lineTo x="21411" y="17753"/>
              <wp:lineTo x="214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_horiz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39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A1305E0" wp14:editId="26D54E33">
          <wp:simplePos x="0" y="0"/>
          <wp:positionH relativeFrom="column">
            <wp:posOffset>7749540</wp:posOffset>
          </wp:positionH>
          <wp:positionV relativeFrom="paragraph">
            <wp:posOffset>-38100</wp:posOffset>
          </wp:positionV>
          <wp:extent cx="1380490" cy="866140"/>
          <wp:effectExtent l="0" t="0" r="0" b="0"/>
          <wp:wrapThrough wrapText="bothSides">
            <wp:wrapPolygon edited="0">
              <wp:start x="0" y="0"/>
              <wp:lineTo x="0" y="20903"/>
              <wp:lineTo x="21163" y="20903"/>
              <wp:lineTo x="211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866140"/>
                  </a:xfrm>
                  <a:prstGeom prst="rect">
                    <a:avLst/>
                  </a:prstGeom>
                </pic:spPr>
              </pic:pic>
            </a:graphicData>
          </a:graphic>
          <wp14:sizeRelH relativeFrom="page">
            <wp14:pctWidth>0</wp14:pctWidth>
          </wp14:sizeRelH>
          <wp14:sizeRelV relativeFrom="page">
            <wp14:pctHeight>0</wp14:pctHeight>
          </wp14:sizeRelV>
        </wp:anchor>
      </w:drawing>
    </w:r>
  </w:p>
  <w:tbl>
    <w:tblPr>
      <w:tblW w:w="14544" w:type="dxa"/>
      <w:tblLook w:val="01E0" w:firstRow="1" w:lastRow="1" w:firstColumn="1" w:lastColumn="1" w:noHBand="0" w:noVBand="0"/>
    </w:tblPr>
    <w:tblGrid>
      <w:gridCol w:w="14544"/>
    </w:tblGrid>
    <w:tr w:rsidR="003F639D" w:rsidRPr="00555A43" w:rsidTr="00F75209">
      <w:tc>
        <w:tcPr>
          <w:tcW w:w="14544" w:type="dxa"/>
          <w:vAlign w:val="center"/>
        </w:tcPr>
        <w:p w:rsidR="003F639D" w:rsidRPr="008E5222" w:rsidRDefault="00FC613F" w:rsidP="009565E3">
          <w:pPr>
            <w:jc w:val="center"/>
            <w:rPr>
              <w:rFonts w:asciiTheme="minorHAnsi" w:hAnsiTheme="minorHAnsi" w:cstheme="minorHAnsi"/>
              <w:b/>
              <w:sz w:val="32"/>
            </w:rPr>
          </w:pPr>
          <w:r>
            <w:rPr>
              <w:rFonts w:asciiTheme="minorHAnsi" w:hAnsiTheme="minorHAnsi" w:cstheme="minorHAnsi"/>
              <w:b/>
              <w:sz w:val="32"/>
            </w:rPr>
            <w:t>EPIC Charting Guideline</w:t>
          </w:r>
          <w:r w:rsidR="00417EC6">
            <w:rPr>
              <w:rFonts w:asciiTheme="minorHAnsi" w:hAnsiTheme="minorHAnsi" w:cstheme="minorHAnsi"/>
              <w:b/>
              <w:sz w:val="32"/>
            </w:rPr>
            <w:t xml:space="preserve"> </w:t>
          </w:r>
          <w:r w:rsidR="009565E3">
            <w:rPr>
              <w:rFonts w:asciiTheme="minorHAnsi" w:hAnsiTheme="minorHAnsi" w:cstheme="minorHAnsi"/>
              <w:b/>
              <w:sz w:val="32"/>
            </w:rPr>
            <w:t xml:space="preserve">Meeting </w:t>
          </w:r>
          <w:r>
            <w:rPr>
              <w:rFonts w:asciiTheme="minorHAnsi" w:hAnsiTheme="minorHAnsi" w:cstheme="minorHAnsi"/>
              <w:b/>
              <w:sz w:val="32"/>
            </w:rPr>
            <w:t>Minutes 2/18</w:t>
          </w:r>
          <w:r w:rsidR="009565E3">
            <w:rPr>
              <w:rFonts w:asciiTheme="minorHAnsi" w:hAnsiTheme="minorHAnsi" w:cstheme="minorHAnsi"/>
              <w:b/>
              <w:sz w:val="32"/>
            </w:rPr>
            <w:t>/2015</w:t>
          </w:r>
        </w:p>
      </w:tc>
    </w:tr>
    <w:tr w:rsidR="003F639D" w:rsidRPr="00555A43" w:rsidTr="00F75209">
      <w:tc>
        <w:tcPr>
          <w:tcW w:w="14544" w:type="dxa"/>
          <w:vAlign w:val="center"/>
        </w:tcPr>
        <w:p w:rsidR="003F639D" w:rsidRPr="00F618E2" w:rsidRDefault="003F639D" w:rsidP="00555A43">
          <w:pPr>
            <w:pStyle w:val="Header"/>
            <w:tabs>
              <w:tab w:val="clear" w:pos="4320"/>
            </w:tabs>
            <w:spacing w:before="0" w:after="0" w:line="240" w:lineRule="auto"/>
            <w:jc w:val="center"/>
            <w:rPr>
              <w:rFonts w:asciiTheme="minorHAnsi" w:hAnsiTheme="minorHAnsi" w:cstheme="minorHAnsi"/>
              <w:b/>
              <w:i/>
              <w:sz w:val="22"/>
              <w:szCs w:val="20"/>
            </w:rPr>
          </w:pPr>
          <w:r w:rsidRPr="00F618E2">
            <w:rPr>
              <w:rFonts w:asciiTheme="minorHAnsi" w:hAnsiTheme="minorHAnsi" w:cstheme="minorHAnsi"/>
              <w:b/>
              <w:i/>
              <w:sz w:val="22"/>
              <w:szCs w:val="20"/>
            </w:rPr>
            <w:t xml:space="preserve">We improve lives. In big ways through learning, healing and discovery. </w:t>
          </w:r>
        </w:p>
        <w:p w:rsidR="003F639D" w:rsidRPr="00555A43" w:rsidRDefault="003F639D" w:rsidP="00555A43">
          <w:pPr>
            <w:pStyle w:val="Header"/>
            <w:tabs>
              <w:tab w:val="clear" w:pos="4320"/>
            </w:tabs>
            <w:spacing w:before="0" w:after="0" w:line="240" w:lineRule="auto"/>
            <w:jc w:val="center"/>
            <w:rPr>
              <w:rFonts w:asciiTheme="minorHAnsi" w:hAnsiTheme="minorHAnsi" w:cstheme="minorHAnsi"/>
              <w:sz w:val="20"/>
            </w:rPr>
          </w:pPr>
          <w:r w:rsidRPr="00F618E2">
            <w:rPr>
              <w:rFonts w:asciiTheme="minorHAnsi" w:hAnsiTheme="minorHAnsi" w:cstheme="minorHAnsi"/>
              <w:b/>
              <w:i/>
              <w:sz w:val="22"/>
              <w:szCs w:val="20"/>
            </w:rPr>
            <w:t>In small, personal ways through human connection. But in all ways, we improve lives.</w:t>
          </w:r>
        </w:p>
      </w:tc>
    </w:tr>
  </w:tbl>
  <w:p w:rsidR="003F639D" w:rsidRPr="003052EE" w:rsidRDefault="003F639D" w:rsidP="00163977">
    <w:pPr>
      <w:pStyle w:val="Header"/>
      <w:spacing w:before="0" w:after="0" w:line="240" w:lineRule="auto"/>
      <w:rPr>
        <w:rFonts w:asciiTheme="minorHAnsi" w:hAnsiTheme="minorHAnsi" w:cs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15:restartNumberingAfterBreak="0">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15:restartNumberingAfterBreak="0">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15:restartNumberingAfterBreak="0">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15:restartNumberingAfterBreak="0">
    <w:nsid w:val="00557A34"/>
    <w:multiLevelType w:val="hybridMultilevel"/>
    <w:tmpl w:val="F5068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9F6708"/>
    <w:multiLevelType w:val="hybridMultilevel"/>
    <w:tmpl w:val="E8C2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3A3"/>
    <w:multiLevelType w:val="hybridMultilevel"/>
    <w:tmpl w:val="0882C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35116D"/>
    <w:multiLevelType w:val="hybridMultilevel"/>
    <w:tmpl w:val="6A0CD35E"/>
    <w:lvl w:ilvl="0" w:tplc="C0FC259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544F0"/>
    <w:multiLevelType w:val="hybridMultilevel"/>
    <w:tmpl w:val="CAC6BA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3D3B6E"/>
    <w:multiLevelType w:val="hybridMultilevel"/>
    <w:tmpl w:val="4C7ECC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0367E8D"/>
    <w:multiLevelType w:val="hybridMultilevel"/>
    <w:tmpl w:val="70F62746"/>
    <w:lvl w:ilvl="0" w:tplc="F5D216A8">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8B3104"/>
    <w:multiLevelType w:val="hybridMultilevel"/>
    <w:tmpl w:val="5ADA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74FAE"/>
    <w:multiLevelType w:val="hybridMultilevel"/>
    <w:tmpl w:val="A5C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C116C"/>
    <w:multiLevelType w:val="hybridMultilevel"/>
    <w:tmpl w:val="A5C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F0481"/>
    <w:multiLevelType w:val="hybridMultilevel"/>
    <w:tmpl w:val="E7EE564A"/>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72CBA"/>
    <w:multiLevelType w:val="hybridMultilevel"/>
    <w:tmpl w:val="49B4CDEE"/>
    <w:lvl w:ilvl="0" w:tplc="F47607B8">
      <w:start w:val="1"/>
      <w:numFmt w:val="bullet"/>
      <w:lvlText w:val=""/>
      <w:lvlJc w:val="left"/>
      <w:pPr>
        <w:tabs>
          <w:tab w:val="num" w:pos="850"/>
        </w:tabs>
        <w:ind w:left="850" w:hanging="360"/>
      </w:pPr>
      <w:rPr>
        <w:rFonts w:ascii="Wingdings" w:hAnsi="Wingdings" w:hint="default"/>
        <w:color w:val="auto"/>
        <w:sz w:val="20"/>
      </w:rPr>
    </w:lvl>
    <w:lvl w:ilvl="1" w:tplc="2F7054D2">
      <w:start w:val="1"/>
      <w:numFmt w:val="bullet"/>
      <w:lvlText w:val=""/>
      <w:lvlJc w:val="left"/>
      <w:pPr>
        <w:tabs>
          <w:tab w:val="num" w:pos="1800"/>
        </w:tabs>
        <w:ind w:left="1800" w:hanging="360"/>
      </w:pPr>
      <w:rPr>
        <w:rFonts w:ascii="Symbol" w:hAnsi="Symbol" w:hint="default"/>
        <w:color w:val="333333"/>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FE4057"/>
    <w:multiLevelType w:val="hybridMultilevel"/>
    <w:tmpl w:val="0722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C1FE3"/>
    <w:multiLevelType w:val="multilevel"/>
    <w:tmpl w:val="D0D40AE0"/>
    <w:lvl w:ilvl="0">
      <w:start w:val="1"/>
      <w:numFmt w:val="bullet"/>
      <w:lvlText w:val=""/>
      <w:lvlJc w:val="left"/>
      <w:pPr>
        <w:tabs>
          <w:tab w:val="num" w:pos="144"/>
        </w:tabs>
        <w:ind w:left="144" w:hanging="144"/>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12B43"/>
    <w:multiLevelType w:val="multilevel"/>
    <w:tmpl w:val="95764B2A"/>
    <w:lvl w:ilvl="0">
      <w:start w:val="1"/>
      <w:numFmt w:val="upperRoman"/>
      <w:lvlText w:val="%1."/>
      <w:lvlJc w:val="left"/>
      <w:pPr>
        <w:tabs>
          <w:tab w:val="num" w:pos="720"/>
        </w:tabs>
        <w:ind w:left="432" w:hanging="432"/>
      </w:pPr>
      <w:rPr>
        <w:rFonts w:ascii="Times New Roman" w:hAnsi="Times New Roman" w:hint="default"/>
        <w:b w:val="0"/>
        <w:i w:val="0"/>
        <w:sz w:val="22"/>
      </w:rPr>
    </w:lvl>
    <w:lvl w:ilvl="1">
      <w:start w:val="1"/>
      <w:numFmt w:val="upperLetter"/>
      <w:lvlText w:val="%2."/>
      <w:lvlJc w:val="left"/>
      <w:pPr>
        <w:tabs>
          <w:tab w:val="num" w:pos="792"/>
        </w:tabs>
        <w:ind w:left="792" w:hanging="360"/>
      </w:pPr>
      <w:rPr>
        <w:rFonts w:ascii="Times New Roman" w:hAnsi="Times New Roman" w:hint="default"/>
        <w:b w:val="0"/>
        <w:i w:val="0"/>
        <w:sz w:val="22"/>
      </w:rPr>
    </w:lvl>
    <w:lvl w:ilvl="2">
      <w:start w:val="1"/>
      <w:numFmt w:val="decimal"/>
      <w:lvlText w:val="%3."/>
      <w:lvlJc w:val="left"/>
      <w:pPr>
        <w:tabs>
          <w:tab w:val="num" w:pos="1152"/>
        </w:tabs>
        <w:ind w:left="1152" w:hanging="360"/>
      </w:pPr>
      <w:rPr>
        <w:rFonts w:hint="default"/>
        <w:b w:val="0"/>
        <w:i w:val="0"/>
        <w:sz w:val="22"/>
      </w:rPr>
    </w:lvl>
    <w:lvl w:ilvl="3">
      <w:start w:val="1"/>
      <w:numFmt w:val="lowerLetter"/>
      <w:lvlText w:val="%4."/>
      <w:lvlJc w:val="left"/>
      <w:pPr>
        <w:tabs>
          <w:tab w:val="num" w:pos="1512"/>
        </w:tabs>
        <w:ind w:left="1512" w:hanging="360"/>
      </w:pPr>
      <w:rPr>
        <w:rFonts w:ascii="Times New Roman" w:hAnsi="Times New Roman" w:hint="default"/>
        <w:b w:val="0"/>
        <w:i w:val="0"/>
        <w:sz w:val="22"/>
      </w:rPr>
    </w:lvl>
    <w:lvl w:ilvl="4">
      <w:start w:val="1"/>
      <w:numFmt w:val="decimal"/>
      <w:lvlText w:val="(%5.)"/>
      <w:lvlJc w:val="left"/>
      <w:pPr>
        <w:tabs>
          <w:tab w:val="num" w:pos="1872"/>
        </w:tabs>
        <w:ind w:left="1872" w:hanging="360"/>
      </w:pPr>
      <w:rPr>
        <w:rFonts w:hint="default"/>
        <w:b w:val="0"/>
        <w:i w:val="0"/>
        <w:sz w:val="22"/>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A1A1E9B"/>
    <w:multiLevelType w:val="hybridMultilevel"/>
    <w:tmpl w:val="CAC6B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4A201B"/>
    <w:multiLevelType w:val="hybridMultilevel"/>
    <w:tmpl w:val="C8B08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0741C40"/>
    <w:multiLevelType w:val="hybridMultilevel"/>
    <w:tmpl w:val="D0D40AE0"/>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44A3A"/>
    <w:multiLevelType w:val="hybridMultilevel"/>
    <w:tmpl w:val="CB30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D53CE"/>
    <w:multiLevelType w:val="hybridMultilevel"/>
    <w:tmpl w:val="BC686432"/>
    <w:lvl w:ilvl="0" w:tplc="342CD234">
      <w:numFmt w:val="bullet"/>
      <w:lvlText w:val=""/>
      <w:lvlJc w:val="left"/>
      <w:pPr>
        <w:ind w:left="795" w:hanging="360"/>
      </w:pPr>
      <w:rPr>
        <w:rFonts w:ascii="Symbol" w:eastAsia="Times New Roman" w:hAnsi="Symbol" w:cstheme="minorHAns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6E086DCA"/>
    <w:multiLevelType w:val="hybridMultilevel"/>
    <w:tmpl w:val="4C2A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31EF2"/>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B7C225A0">
      <w:start w:val="1"/>
      <w:numFmt w:val="bullet"/>
      <w:lvlText w:val=""/>
      <w:lvlJc w:val="left"/>
      <w:pPr>
        <w:tabs>
          <w:tab w:val="num" w:pos="1440"/>
        </w:tabs>
        <w:ind w:left="1440" w:hanging="360"/>
      </w:pPr>
      <w:rPr>
        <w:rFonts w:ascii="Symbol" w:hAnsi="Symbol" w:hint="default"/>
        <w:color w:val="00008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B0C32"/>
    <w:multiLevelType w:val="hybridMultilevel"/>
    <w:tmpl w:val="09A2E098"/>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C81F76"/>
    <w:multiLevelType w:val="hybridMultilevel"/>
    <w:tmpl w:val="EC5AF68C"/>
    <w:lvl w:ilvl="0" w:tplc="80DA995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2352F"/>
    <w:multiLevelType w:val="hybridMultilevel"/>
    <w:tmpl w:val="FEFEF3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A56E77"/>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A6741E2C">
      <w:start w:val="1"/>
      <w:numFmt w:val="bullet"/>
      <w:lvlText w:val=""/>
      <w:lvlJc w:val="left"/>
      <w:pPr>
        <w:tabs>
          <w:tab w:val="num" w:pos="1440"/>
        </w:tabs>
        <w:ind w:left="1440" w:hanging="360"/>
      </w:pPr>
      <w:rPr>
        <w:rFonts w:ascii="Symbol" w:hAnsi="Symbol" w:hint="default"/>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A2651"/>
    <w:multiLevelType w:val="multilevel"/>
    <w:tmpl w:val="6A0CD35E"/>
    <w:lvl w:ilvl="0">
      <w:start w:val="1"/>
      <w:numFmt w:val="bullet"/>
      <w:lvlText w:val=""/>
      <w:lvlJc w:val="left"/>
      <w:pPr>
        <w:tabs>
          <w:tab w:val="num" w:pos="216"/>
        </w:tabs>
        <w:ind w:left="216" w:hanging="216"/>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80489B"/>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E7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0544AB"/>
    <w:multiLevelType w:val="hybridMultilevel"/>
    <w:tmpl w:val="49B4CDEE"/>
    <w:lvl w:ilvl="0" w:tplc="15642594">
      <w:start w:val="1"/>
      <w:numFmt w:val="bullet"/>
      <w:lvlText w:val=""/>
      <w:lvlJc w:val="left"/>
      <w:pPr>
        <w:tabs>
          <w:tab w:val="num" w:pos="490"/>
        </w:tabs>
        <w:ind w:left="490" w:hanging="360"/>
      </w:pPr>
      <w:rPr>
        <w:rFonts w:ascii="Wingdings" w:hAnsi="Wingdings" w:hint="default"/>
        <w:b w:val="0"/>
        <w:i w:val="0"/>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31"/>
  </w:num>
  <w:num w:numId="4">
    <w:abstractNumId w:val="35"/>
  </w:num>
  <w:num w:numId="5">
    <w:abstractNumId w:val="17"/>
  </w:num>
  <w:num w:numId="6">
    <w:abstractNumId w:val="5"/>
  </w:num>
  <w:num w:numId="7">
    <w:abstractNumId w:val="3"/>
  </w:num>
  <w:num w:numId="8">
    <w:abstractNumId w:val="2"/>
  </w:num>
  <w:num w:numId="9">
    <w:abstractNumId w:val="1"/>
  </w:num>
  <w:num w:numId="10">
    <w:abstractNumId w:val="4"/>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21"/>
  </w:num>
  <w:num w:numId="18">
    <w:abstractNumId w:val="24"/>
  </w:num>
  <w:num w:numId="19">
    <w:abstractNumId w:val="18"/>
  </w:num>
  <w:num w:numId="20">
    <w:abstractNumId w:val="9"/>
  </w:num>
  <w:num w:numId="21">
    <w:abstractNumId w:val="32"/>
  </w:num>
  <w:num w:numId="22">
    <w:abstractNumId w:val="16"/>
  </w:num>
  <w:num w:numId="23">
    <w:abstractNumId w:val="28"/>
  </w:num>
  <w:num w:numId="24">
    <w:abstractNumId w:val="23"/>
  </w:num>
  <w:num w:numId="25">
    <w:abstractNumId w:val="19"/>
  </w:num>
  <w:num w:numId="26">
    <w:abstractNumId w:val="20"/>
  </w:num>
  <w:num w:numId="27">
    <w:abstractNumId w:val="30"/>
  </w:num>
  <w:num w:numId="28">
    <w:abstractNumId w:val="13"/>
  </w:num>
  <w:num w:numId="29">
    <w:abstractNumId w:val="26"/>
  </w:num>
  <w:num w:numId="30">
    <w:abstractNumId w:val="7"/>
  </w:num>
  <w:num w:numId="31">
    <w:abstractNumId w:val="14"/>
  </w:num>
  <w:num w:numId="32">
    <w:abstractNumId w:val="15"/>
  </w:num>
  <w:num w:numId="33">
    <w:abstractNumId w:val="29"/>
  </w:num>
  <w:num w:numId="34">
    <w:abstractNumId w:val="25"/>
  </w:num>
  <w:num w:numId="35">
    <w:abstractNumId w:val="12"/>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B"/>
    <w:rsid w:val="000073B0"/>
    <w:rsid w:val="000107C1"/>
    <w:rsid w:val="00011BD6"/>
    <w:rsid w:val="0001319B"/>
    <w:rsid w:val="0001399D"/>
    <w:rsid w:val="0004336D"/>
    <w:rsid w:val="00045B44"/>
    <w:rsid w:val="00054EE7"/>
    <w:rsid w:val="000626B3"/>
    <w:rsid w:val="000653FE"/>
    <w:rsid w:val="000671AE"/>
    <w:rsid w:val="00077003"/>
    <w:rsid w:val="00080B1B"/>
    <w:rsid w:val="000A38F2"/>
    <w:rsid w:val="000D053D"/>
    <w:rsid w:val="000E3F3F"/>
    <w:rsid w:val="000F4751"/>
    <w:rsid w:val="000F7767"/>
    <w:rsid w:val="00102349"/>
    <w:rsid w:val="00103619"/>
    <w:rsid w:val="0010569A"/>
    <w:rsid w:val="00110268"/>
    <w:rsid w:val="00113407"/>
    <w:rsid w:val="00114680"/>
    <w:rsid w:val="00115606"/>
    <w:rsid w:val="001172B1"/>
    <w:rsid w:val="00117A6F"/>
    <w:rsid w:val="00122DAF"/>
    <w:rsid w:val="001367FF"/>
    <w:rsid w:val="00153CE7"/>
    <w:rsid w:val="0016052C"/>
    <w:rsid w:val="00163977"/>
    <w:rsid w:val="00183FC3"/>
    <w:rsid w:val="00191616"/>
    <w:rsid w:val="00196BA0"/>
    <w:rsid w:val="00197E69"/>
    <w:rsid w:val="001A332F"/>
    <w:rsid w:val="001A5361"/>
    <w:rsid w:val="001A5ED1"/>
    <w:rsid w:val="001B31A1"/>
    <w:rsid w:val="001C0603"/>
    <w:rsid w:val="001D068A"/>
    <w:rsid w:val="001D1982"/>
    <w:rsid w:val="001D444B"/>
    <w:rsid w:val="001D479E"/>
    <w:rsid w:val="001D5722"/>
    <w:rsid w:val="001E0D34"/>
    <w:rsid w:val="001F1510"/>
    <w:rsid w:val="001F663A"/>
    <w:rsid w:val="00203910"/>
    <w:rsid w:val="0021262F"/>
    <w:rsid w:val="00212659"/>
    <w:rsid w:val="00214C73"/>
    <w:rsid w:val="00217BB2"/>
    <w:rsid w:val="00222640"/>
    <w:rsid w:val="0022501F"/>
    <w:rsid w:val="00225DCE"/>
    <w:rsid w:val="00245491"/>
    <w:rsid w:val="002467F7"/>
    <w:rsid w:val="00257510"/>
    <w:rsid w:val="00257A08"/>
    <w:rsid w:val="00265F19"/>
    <w:rsid w:val="00271B43"/>
    <w:rsid w:val="00280528"/>
    <w:rsid w:val="00290389"/>
    <w:rsid w:val="0029658C"/>
    <w:rsid w:val="002A2000"/>
    <w:rsid w:val="002A2598"/>
    <w:rsid w:val="002A2664"/>
    <w:rsid w:val="002A6B3E"/>
    <w:rsid w:val="002B0669"/>
    <w:rsid w:val="002B568B"/>
    <w:rsid w:val="002B701E"/>
    <w:rsid w:val="002E0A70"/>
    <w:rsid w:val="003052EE"/>
    <w:rsid w:val="00311527"/>
    <w:rsid w:val="00312EC3"/>
    <w:rsid w:val="00340BE0"/>
    <w:rsid w:val="00356883"/>
    <w:rsid w:val="00360C08"/>
    <w:rsid w:val="00361760"/>
    <w:rsid w:val="003641AD"/>
    <w:rsid w:val="003806E6"/>
    <w:rsid w:val="00387674"/>
    <w:rsid w:val="003906B8"/>
    <w:rsid w:val="003B279D"/>
    <w:rsid w:val="003F0BF6"/>
    <w:rsid w:val="003F639D"/>
    <w:rsid w:val="00405F36"/>
    <w:rsid w:val="00407340"/>
    <w:rsid w:val="00412A11"/>
    <w:rsid w:val="0041322F"/>
    <w:rsid w:val="00417EC6"/>
    <w:rsid w:val="0042635A"/>
    <w:rsid w:val="00434FDB"/>
    <w:rsid w:val="00437AF8"/>
    <w:rsid w:val="00442298"/>
    <w:rsid w:val="00443055"/>
    <w:rsid w:val="00446771"/>
    <w:rsid w:val="00451136"/>
    <w:rsid w:val="004716C8"/>
    <w:rsid w:val="0047791A"/>
    <w:rsid w:val="00480F57"/>
    <w:rsid w:val="00486CAB"/>
    <w:rsid w:val="004A237E"/>
    <w:rsid w:val="004A7559"/>
    <w:rsid w:val="004B74CA"/>
    <w:rsid w:val="004C1C72"/>
    <w:rsid w:val="004C36CF"/>
    <w:rsid w:val="004C66E7"/>
    <w:rsid w:val="004D2265"/>
    <w:rsid w:val="004F7F81"/>
    <w:rsid w:val="005024E3"/>
    <w:rsid w:val="00504EF7"/>
    <w:rsid w:val="00506DD5"/>
    <w:rsid w:val="00517DA2"/>
    <w:rsid w:val="005235E3"/>
    <w:rsid w:val="005242E7"/>
    <w:rsid w:val="0052488B"/>
    <w:rsid w:val="00526DFD"/>
    <w:rsid w:val="005412B5"/>
    <w:rsid w:val="0055164D"/>
    <w:rsid w:val="00553E25"/>
    <w:rsid w:val="0055426F"/>
    <w:rsid w:val="00555A43"/>
    <w:rsid w:val="00557D7C"/>
    <w:rsid w:val="00557F37"/>
    <w:rsid w:val="00566420"/>
    <w:rsid w:val="00592E9D"/>
    <w:rsid w:val="005A3415"/>
    <w:rsid w:val="005A35C4"/>
    <w:rsid w:val="005A3E3D"/>
    <w:rsid w:val="005B55E9"/>
    <w:rsid w:val="005E0FDE"/>
    <w:rsid w:val="005E1507"/>
    <w:rsid w:val="005E169D"/>
    <w:rsid w:val="005F039E"/>
    <w:rsid w:val="005F35C3"/>
    <w:rsid w:val="006227C0"/>
    <w:rsid w:val="00636C0B"/>
    <w:rsid w:val="00671B0B"/>
    <w:rsid w:val="006763F7"/>
    <w:rsid w:val="00677793"/>
    <w:rsid w:val="00694E5A"/>
    <w:rsid w:val="00695DD9"/>
    <w:rsid w:val="00696D72"/>
    <w:rsid w:val="006A0588"/>
    <w:rsid w:val="006A3C2F"/>
    <w:rsid w:val="006B12D3"/>
    <w:rsid w:val="006B3BA8"/>
    <w:rsid w:val="006C6A40"/>
    <w:rsid w:val="006C6A87"/>
    <w:rsid w:val="006D486B"/>
    <w:rsid w:val="006E3ECB"/>
    <w:rsid w:val="006F0A17"/>
    <w:rsid w:val="00725CDC"/>
    <w:rsid w:val="00733B88"/>
    <w:rsid w:val="00736103"/>
    <w:rsid w:val="00746AA6"/>
    <w:rsid w:val="00747B25"/>
    <w:rsid w:val="0075325B"/>
    <w:rsid w:val="007637C7"/>
    <w:rsid w:val="00780870"/>
    <w:rsid w:val="007941C6"/>
    <w:rsid w:val="00795091"/>
    <w:rsid w:val="00797260"/>
    <w:rsid w:val="00797F09"/>
    <w:rsid w:val="007A5EA6"/>
    <w:rsid w:val="007A7B83"/>
    <w:rsid w:val="007B0287"/>
    <w:rsid w:val="007B2395"/>
    <w:rsid w:val="007B63C0"/>
    <w:rsid w:val="007C20E4"/>
    <w:rsid w:val="007C2F69"/>
    <w:rsid w:val="007E1787"/>
    <w:rsid w:val="007E4DE1"/>
    <w:rsid w:val="007E68D9"/>
    <w:rsid w:val="007F1572"/>
    <w:rsid w:val="007F7619"/>
    <w:rsid w:val="008004C6"/>
    <w:rsid w:val="008009A8"/>
    <w:rsid w:val="00827052"/>
    <w:rsid w:val="0083105A"/>
    <w:rsid w:val="00843AE4"/>
    <w:rsid w:val="0086072C"/>
    <w:rsid w:val="008642D3"/>
    <w:rsid w:val="008714FE"/>
    <w:rsid w:val="00883BBD"/>
    <w:rsid w:val="00884A19"/>
    <w:rsid w:val="00896504"/>
    <w:rsid w:val="008A0B56"/>
    <w:rsid w:val="008B4F42"/>
    <w:rsid w:val="008B4F6C"/>
    <w:rsid w:val="008C2F02"/>
    <w:rsid w:val="008C4567"/>
    <w:rsid w:val="008C4BC1"/>
    <w:rsid w:val="008D317D"/>
    <w:rsid w:val="008D4834"/>
    <w:rsid w:val="008D54E7"/>
    <w:rsid w:val="008E0015"/>
    <w:rsid w:val="008E5222"/>
    <w:rsid w:val="00902658"/>
    <w:rsid w:val="0091717E"/>
    <w:rsid w:val="0092654B"/>
    <w:rsid w:val="009445BE"/>
    <w:rsid w:val="00950C69"/>
    <w:rsid w:val="009565E3"/>
    <w:rsid w:val="009572F8"/>
    <w:rsid w:val="00976D29"/>
    <w:rsid w:val="00980295"/>
    <w:rsid w:val="00991572"/>
    <w:rsid w:val="00992718"/>
    <w:rsid w:val="00996562"/>
    <w:rsid w:val="009B47AF"/>
    <w:rsid w:val="009C0D12"/>
    <w:rsid w:val="009D414E"/>
    <w:rsid w:val="009E31A7"/>
    <w:rsid w:val="009E60DA"/>
    <w:rsid w:val="009F3713"/>
    <w:rsid w:val="00A03348"/>
    <w:rsid w:val="00A064EA"/>
    <w:rsid w:val="00A270EC"/>
    <w:rsid w:val="00A3130E"/>
    <w:rsid w:val="00A403E2"/>
    <w:rsid w:val="00A41693"/>
    <w:rsid w:val="00A458D9"/>
    <w:rsid w:val="00A55524"/>
    <w:rsid w:val="00A55684"/>
    <w:rsid w:val="00A63F6C"/>
    <w:rsid w:val="00A7431B"/>
    <w:rsid w:val="00A75C8F"/>
    <w:rsid w:val="00A82EC1"/>
    <w:rsid w:val="00A86EA4"/>
    <w:rsid w:val="00AB4EA2"/>
    <w:rsid w:val="00AD229D"/>
    <w:rsid w:val="00AD3DA3"/>
    <w:rsid w:val="00AF4AC0"/>
    <w:rsid w:val="00B07B00"/>
    <w:rsid w:val="00B146E8"/>
    <w:rsid w:val="00B15F70"/>
    <w:rsid w:val="00B2208B"/>
    <w:rsid w:val="00B239F0"/>
    <w:rsid w:val="00B51B6F"/>
    <w:rsid w:val="00B52772"/>
    <w:rsid w:val="00B53540"/>
    <w:rsid w:val="00B60B9D"/>
    <w:rsid w:val="00B667DE"/>
    <w:rsid w:val="00B70740"/>
    <w:rsid w:val="00B709AB"/>
    <w:rsid w:val="00B76FC3"/>
    <w:rsid w:val="00B80380"/>
    <w:rsid w:val="00B94FD1"/>
    <w:rsid w:val="00BA0750"/>
    <w:rsid w:val="00BA53B4"/>
    <w:rsid w:val="00BA54BA"/>
    <w:rsid w:val="00BA5F73"/>
    <w:rsid w:val="00BB667C"/>
    <w:rsid w:val="00BD3E4C"/>
    <w:rsid w:val="00BE20D5"/>
    <w:rsid w:val="00BE24DA"/>
    <w:rsid w:val="00BE2FDE"/>
    <w:rsid w:val="00BF0399"/>
    <w:rsid w:val="00BF7DC2"/>
    <w:rsid w:val="00C11F66"/>
    <w:rsid w:val="00C11F96"/>
    <w:rsid w:val="00C21030"/>
    <w:rsid w:val="00C21A41"/>
    <w:rsid w:val="00C26BBB"/>
    <w:rsid w:val="00C3556B"/>
    <w:rsid w:val="00C35E40"/>
    <w:rsid w:val="00C42F12"/>
    <w:rsid w:val="00C47808"/>
    <w:rsid w:val="00C51EE2"/>
    <w:rsid w:val="00C57FD5"/>
    <w:rsid w:val="00C608E2"/>
    <w:rsid w:val="00C64CA0"/>
    <w:rsid w:val="00C6535D"/>
    <w:rsid w:val="00C817CC"/>
    <w:rsid w:val="00C96585"/>
    <w:rsid w:val="00CA18C4"/>
    <w:rsid w:val="00CB404E"/>
    <w:rsid w:val="00CC09EA"/>
    <w:rsid w:val="00CC647F"/>
    <w:rsid w:val="00CD1021"/>
    <w:rsid w:val="00CD2085"/>
    <w:rsid w:val="00CD5669"/>
    <w:rsid w:val="00CE50B9"/>
    <w:rsid w:val="00CE57AD"/>
    <w:rsid w:val="00CE76D9"/>
    <w:rsid w:val="00D07CAC"/>
    <w:rsid w:val="00D25D0D"/>
    <w:rsid w:val="00D26D17"/>
    <w:rsid w:val="00D64C41"/>
    <w:rsid w:val="00D6609E"/>
    <w:rsid w:val="00D762BE"/>
    <w:rsid w:val="00D77943"/>
    <w:rsid w:val="00D81484"/>
    <w:rsid w:val="00DA053B"/>
    <w:rsid w:val="00DA24B0"/>
    <w:rsid w:val="00DA3EC0"/>
    <w:rsid w:val="00DC22E7"/>
    <w:rsid w:val="00DE1CE8"/>
    <w:rsid w:val="00E06CD9"/>
    <w:rsid w:val="00E12AA0"/>
    <w:rsid w:val="00E12B13"/>
    <w:rsid w:val="00E165A1"/>
    <w:rsid w:val="00E31F3B"/>
    <w:rsid w:val="00E500D4"/>
    <w:rsid w:val="00E50BC3"/>
    <w:rsid w:val="00E54F3D"/>
    <w:rsid w:val="00E625EC"/>
    <w:rsid w:val="00E6404E"/>
    <w:rsid w:val="00E66D6B"/>
    <w:rsid w:val="00E67989"/>
    <w:rsid w:val="00E87D6F"/>
    <w:rsid w:val="00EB6687"/>
    <w:rsid w:val="00ED275D"/>
    <w:rsid w:val="00ED3509"/>
    <w:rsid w:val="00EF582B"/>
    <w:rsid w:val="00F00ABD"/>
    <w:rsid w:val="00F0656C"/>
    <w:rsid w:val="00F13322"/>
    <w:rsid w:val="00F159B2"/>
    <w:rsid w:val="00F233B0"/>
    <w:rsid w:val="00F237AD"/>
    <w:rsid w:val="00F272E9"/>
    <w:rsid w:val="00F35CB4"/>
    <w:rsid w:val="00F400B8"/>
    <w:rsid w:val="00F44F52"/>
    <w:rsid w:val="00F45C2B"/>
    <w:rsid w:val="00F56E7D"/>
    <w:rsid w:val="00F618E2"/>
    <w:rsid w:val="00F62A46"/>
    <w:rsid w:val="00F701F2"/>
    <w:rsid w:val="00F75209"/>
    <w:rsid w:val="00F85D08"/>
    <w:rsid w:val="00F864A3"/>
    <w:rsid w:val="00F86B29"/>
    <w:rsid w:val="00F920A0"/>
    <w:rsid w:val="00FA0938"/>
    <w:rsid w:val="00FA71DF"/>
    <w:rsid w:val="00FB083E"/>
    <w:rsid w:val="00FB242F"/>
    <w:rsid w:val="00FC3A4F"/>
    <w:rsid w:val="00FC613F"/>
    <w:rsid w:val="00FD03D9"/>
    <w:rsid w:val="00FD682B"/>
    <w:rsid w:val="00FD68FE"/>
    <w:rsid w:val="00FE20A7"/>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252BAD-7086-46EC-BE7E-21829B7B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Bookman Old Style" w:hAnsi="Bookman Old Style"/>
      <w:szCs w:val="24"/>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rFonts w:eastAsia="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pPr>
    <w:rPr>
      <w:rFonts w:ascii="Courier New" w:hAnsi="Courier New" w:cs="Courier New"/>
      <w:szCs w:val="20"/>
    </w:rPr>
  </w:style>
  <w:style w:type="paragraph" w:styleId="Header">
    <w:name w:val="header"/>
    <w:basedOn w:val="Heading1"/>
  </w:style>
  <w:style w:type="character" w:styleId="Hyperlink">
    <w:name w:val="Hyperlink"/>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pPr>
      <w:numPr>
        <w:numId w:val="11"/>
      </w:numPr>
    </w:pPr>
  </w:style>
  <w:style w:type="paragraph" w:styleId="BodyText">
    <w:name w:val="Body Text"/>
    <w:basedOn w:val="Normal"/>
  </w:style>
  <w:style w:type="paragraph" w:styleId="ListBullet">
    <w:name w:val="List Bullet"/>
    <w:basedOn w:val="Normal"/>
    <w:autoRedefine/>
    <w:pPr>
      <w:numPr>
        <w:numId w:val="6"/>
      </w:numPr>
    </w:pPr>
  </w:style>
  <w:style w:type="paragraph" w:styleId="ListBullet2">
    <w:name w:val="List Bullet 2"/>
    <w:basedOn w:val="ListBullet"/>
    <w:autoRedefine/>
    <w:pPr>
      <w:numPr>
        <w:numId w:val="7"/>
      </w:numPr>
    </w:pPr>
  </w:style>
  <w:style w:type="paragraph" w:styleId="ListBullet3">
    <w:name w:val="List Bullet 3"/>
    <w:basedOn w:val="ListBullet2"/>
    <w:autoRedefine/>
    <w:pPr>
      <w:numPr>
        <w:numId w:val="8"/>
      </w:numPr>
    </w:pPr>
  </w:style>
  <w:style w:type="paragraph" w:styleId="ListNumber">
    <w:name w:val="List Number"/>
    <w:basedOn w:val="Normal"/>
    <w:pPr>
      <w:numPr>
        <w:numId w:val="10"/>
      </w:numPr>
      <w:ind w:left="648"/>
    </w:pPr>
  </w:style>
  <w:style w:type="paragraph" w:styleId="ListNumber2">
    <w:name w:val="List Number 2"/>
    <w:basedOn w:val="ListBullet2"/>
    <w:pPr>
      <w:numPr>
        <w:numId w:val="9"/>
      </w:numPr>
      <w:tabs>
        <w:tab w:val="left" w:pos="1080"/>
      </w:tabs>
      <w:ind w:left="1080"/>
    </w:pPr>
  </w:style>
  <w:style w:type="paragraph" w:styleId="Footer">
    <w:name w:val="footer"/>
    <w:basedOn w:val="Normal"/>
    <w:pPr>
      <w:tabs>
        <w:tab w:val="center" w:pos="4320"/>
        <w:tab w:val="right" w:pos="8640"/>
      </w:tabs>
    </w:pPr>
  </w:style>
  <w:style w:type="character" w:styleId="PageNumber">
    <w:name w:val="page number"/>
    <w:rPr>
      <w:rFonts w:ascii="Bookman Old Style" w:hAnsi="Bookman Old Style"/>
      <w:sz w:val="24"/>
    </w:rPr>
  </w:style>
  <w:style w:type="character" w:styleId="HTMLAcronym">
    <w:name w:val="HTML Acronym"/>
    <w:basedOn w:val="Hyperlink"/>
    <w:rPr>
      <w:rFonts w:ascii="Bookman Old Style" w:hAnsi="Bookman Old Style"/>
      <w:dstrike w:val="0"/>
      <w:color w:val="000080"/>
      <w:sz w:val="20"/>
      <w:u w:val="single"/>
      <w:vertAlign w:val="baseline"/>
    </w:rPr>
  </w:style>
  <w:style w:type="character" w:styleId="FollowedHyperlink">
    <w:name w:val="FollowedHyperlink"/>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tyle>
  <w:style w:type="table" w:styleId="TableGrid">
    <w:name w:val="Table Grid"/>
    <w:basedOn w:val="TableNormal"/>
    <w:rsid w:val="00557F3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D7C"/>
    <w:rPr>
      <w:rFonts w:ascii="Tahoma" w:hAnsi="Tahoma" w:cs="Tahoma"/>
      <w:sz w:val="16"/>
      <w:szCs w:val="16"/>
    </w:rPr>
  </w:style>
  <w:style w:type="paragraph" w:styleId="ListParagraph">
    <w:name w:val="List Paragraph"/>
    <w:basedOn w:val="Normal"/>
    <w:uiPriority w:val="34"/>
    <w:qFormat/>
    <w:rsid w:val="008C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51DC-7906-4167-AD0A-9FFBC6DD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creator>beth</dc:creator>
  <cp:lastModifiedBy>Meg Hellrung</cp:lastModifiedBy>
  <cp:revision>2</cp:revision>
  <cp:lastPrinted>2014-07-24T23:35:00Z</cp:lastPrinted>
  <dcterms:created xsi:type="dcterms:W3CDTF">2015-06-26T17:43:00Z</dcterms:created>
  <dcterms:modified xsi:type="dcterms:W3CDTF">2015-06-26T17:43:00Z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-1635160706</vt:i4>
  </property>
  <property fmtid="{D5CDD505-2E9C-101B-9397-08002B2CF9AE}" pid="4" name="_EmailSubject">
    <vt:lpwstr>GPS agenda and minutes templates</vt:lpwstr>
  </property>
  <property fmtid="{D5CDD505-2E9C-101B-9397-08002B2CF9AE}" pid="5" name="_AuthorEmail">
    <vt:lpwstr>Cathleen.Ehrenfeucht@uchealth.org</vt:lpwstr>
  </property>
  <property fmtid="{D5CDD505-2E9C-101B-9397-08002B2CF9AE}" pid="6" name="_AuthorEmailDisplayName">
    <vt:lpwstr>Ehrenfeucht, Cathleen</vt:lpwstr>
  </property>
  <property fmtid="{D5CDD505-2E9C-101B-9397-08002B2CF9AE}" pid="7" name="_PreviousAdHocReviewCycleID">
    <vt:i4>-370852323</vt:i4>
  </property>
  <property fmtid="{D5CDD505-2E9C-101B-9397-08002B2CF9AE}" pid="8" name="_ReviewingToolsShownOnce">
    <vt:lpwstr/>
  </property>
</Properties>
</file>