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16" w:rsidRPr="00DC61B5" w:rsidRDefault="00E37416" w:rsidP="00E37416">
      <w:pPr>
        <w:jc w:val="center"/>
        <w:rPr>
          <w:b/>
        </w:rPr>
      </w:pPr>
      <w:r w:rsidRPr="00DC61B5">
        <w:rPr>
          <w:b/>
        </w:rPr>
        <w:t>OR Specific Basic Preceptor Course</w:t>
      </w:r>
    </w:p>
    <w:p w:rsidR="00891C70" w:rsidRDefault="00E37416" w:rsidP="00E37416">
      <w:pPr>
        <w:jc w:val="center"/>
        <w:rPr>
          <w:b/>
        </w:rPr>
      </w:pPr>
      <w:r w:rsidRPr="00DC61B5">
        <w:rPr>
          <w:b/>
        </w:rPr>
        <w:t>Post-Certification Survey Results</w:t>
      </w:r>
    </w:p>
    <w:p w:rsidR="00855696" w:rsidRDefault="00855696" w:rsidP="00E37416">
      <w:pPr>
        <w:jc w:val="center"/>
        <w:rPr>
          <w:b/>
        </w:rPr>
      </w:pPr>
      <w:r>
        <w:rPr>
          <w:b/>
        </w:rPr>
        <w:t xml:space="preserve">(Available 4/24/15 &amp; closed 5/1/15) </w:t>
      </w:r>
    </w:p>
    <w:p w:rsidR="00680CC0" w:rsidRPr="00DC61B5" w:rsidRDefault="00A34ACC" w:rsidP="00E37416">
      <w:pPr>
        <w:jc w:val="center"/>
        <w:rPr>
          <w:b/>
        </w:rPr>
      </w:pPr>
      <w:r>
        <w:rPr>
          <w:b/>
        </w:rPr>
        <w:t>N = 6 learners</w:t>
      </w:r>
      <w:bookmarkStart w:id="0" w:name="_GoBack"/>
      <w:bookmarkEnd w:id="0"/>
    </w:p>
    <w:p w:rsidR="00A717EE" w:rsidRDefault="00E37416" w:rsidP="00A717EE">
      <w:pPr>
        <w:pStyle w:val="ListParagraph"/>
        <w:numPr>
          <w:ilvl w:val="0"/>
          <w:numId w:val="1"/>
        </w:numPr>
      </w:pPr>
      <w:r>
        <w:t>Have you acted as Preceptor since the completion of the Or Specific Basic Prec</w:t>
      </w:r>
      <w:r w:rsidR="00A717EE">
        <w:t>eptor Course?</w:t>
      </w:r>
      <w:r w:rsidR="00A717EE">
        <w:rPr>
          <w:noProof/>
        </w:rPr>
        <w:drawing>
          <wp:inline distT="0" distB="0" distL="0" distR="0">
            <wp:extent cx="5277745" cy="1951538"/>
            <wp:effectExtent l="0" t="0" r="18415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717EE">
        <w:t xml:space="preserve"> </w:t>
      </w:r>
    </w:p>
    <w:p w:rsidR="00A717EE" w:rsidRDefault="009867DF" w:rsidP="00A717EE">
      <w:pPr>
        <w:pStyle w:val="ListParagraph"/>
        <w:rPr>
          <w:color w:val="FF0000"/>
        </w:rPr>
      </w:pPr>
      <w:r w:rsidRPr="009867DF">
        <w:rPr>
          <w:color w:val="FF0000"/>
        </w:rPr>
        <w:t xml:space="preserve">Results Analysis: </w:t>
      </w:r>
      <w:r w:rsidR="00FD2F89">
        <w:rPr>
          <w:color w:val="FF0000"/>
        </w:rPr>
        <w:t xml:space="preserve">Majority of the learners have proactively functioned in the preceptor role since completion of the course. </w:t>
      </w:r>
    </w:p>
    <w:p w:rsidR="00680CC0" w:rsidRPr="009867DF" w:rsidRDefault="00680CC0" w:rsidP="00A717EE">
      <w:pPr>
        <w:pStyle w:val="ListParagraph"/>
        <w:rPr>
          <w:color w:val="FF0000"/>
        </w:rPr>
      </w:pPr>
    </w:p>
    <w:p w:rsidR="00680CC0" w:rsidRDefault="00A717EE" w:rsidP="00680CC0">
      <w:pPr>
        <w:pStyle w:val="ListParagraph"/>
        <w:numPr>
          <w:ilvl w:val="0"/>
          <w:numId w:val="1"/>
        </w:numPr>
      </w:pPr>
      <w:r>
        <w:t>After attending the OR Specific Basic Preceptor Course, what was the most helpful and what was the least helpful regarding the session?</w:t>
      </w:r>
    </w:p>
    <w:p w:rsidR="00DC61B5" w:rsidRDefault="00DC61B5" w:rsidP="00680CC0">
      <w:pPr>
        <w:pStyle w:val="ListParagraph"/>
      </w:pPr>
      <w:r>
        <w:t>Trending phrases/comments:</w:t>
      </w:r>
    </w:p>
    <w:p w:rsidR="00680CC0" w:rsidRDefault="00680CC0" w:rsidP="00680CC0">
      <w:pPr>
        <w:pStyle w:val="ListParagraph"/>
      </w:pPr>
    </w:p>
    <w:p w:rsidR="00DC61B5" w:rsidRDefault="00DC61B5" w:rsidP="00DC61B5">
      <w:pPr>
        <w:pStyle w:val="ListParagraph"/>
      </w:pPr>
      <w:r w:rsidRPr="00680CC0">
        <w:rPr>
          <w:b/>
        </w:rPr>
        <w:t>Most Helpful</w:t>
      </w:r>
      <w:r>
        <w:t>:</w:t>
      </w:r>
    </w:p>
    <w:p w:rsidR="00DC61B5" w:rsidRDefault="00DC61B5" w:rsidP="00DC61B5">
      <w:pPr>
        <w:pStyle w:val="ListParagraph"/>
        <w:numPr>
          <w:ilvl w:val="0"/>
          <w:numId w:val="5"/>
        </w:numPr>
      </w:pPr>
      <w:r>
        <w:t>Scenarios/case studies/difficult situations</w:t>
      </w:r>
    </w:p>
    <w:p w:rsidR="00DC61B5" w:rsidRDefault="00DC61B5" w:rsidP="00DC61B5">
      <w:pPr>
        <w:pStyle w:val="ListParagraph"/>
        <w:numPr>
          <w:ilvl w:val="0"/>
          <w:numId w:val="5"/>
        </w:numPr>
      </w:pPr>
      <w:r>
        <w:t>Learning Styles</w:t>
      </w:r>
    </w:p>
    <w:p w:rsidR="00DC61B5" w:rsidRDefault="00DC61B5" w:rsidP="00DC61B5">
      <w:pPr>
        <w:pStyle w:val="ListParagraph"/>
      </w:pPr>
      <w:r w:rsidRPr="00680CC0">
        <w:rPr>
          <w:b/>
        </w:rPr>
        <w:t>Least Helpful</w:t>
      </w:r>
      <w:r>
        <w:t>:</w:t>
      </w:r>
    </w:p>
    <w:p w:rsidR="00A717EE" w:rsidRDefault="00DC61B5" w:rsidP="00DC61B5">
      <w:pPr>
        <w:pStyle w:val="ListParagraph"/>
        <w:numPr>
          <w:ilvl w:val="0"/>
          <w:numId w:val="5"/>
        </w:numPr>
      </w:pPr>
      <w:r>
        <w:t>Reading PowerPoint</w:t>
      </w:r>
    </w:p>
    <w:p w:rsidR="00DC61B5" w:rsidRPr="009867DF" w:rsidRDefault="009867DF" w:rsidP="006B5236">
      <w:pPr>
        <w:ind w:left="720"/>
        <w:rPr>
          <w:color w:val="FF0000"/>
        </w:rPr>
      </w:pPr>
      <w:r w:rsidRPr="009867DF">
        <w:rPr>
          <w:color w:val="FF0000"/>
        </w:rPr>
        <w:t>Results Analysis:</w:t>
      </w:r>
      <w:r w:rsidR="00FD2F89">
        <w:rPr>
          <w:color w:val="FF0000"/>
        </w:rPr>
        <w:t xml:space="preserve"> </w:t>
      </w:r>
      <w:r w:rsidR="006B5236">
        <w:rPr>
          <w:color w:val="FF0000"/>
        </w:rPr>
        <w:t xml:space="preserve">The primary tools recognized by the learners include the facilitated discussion questions and the UCH Basic Preceptor Course Classroom Tool. The learners also recognized reviewing the PowerPoint presentation as extraneous. </w:t>
      </w:r>
      <w:r w:rsidR="00680CC0">
        <w:rPr>
          <w:color w:val="FF0000"/>
        </w:rPr>
        <w:t>Despite this response, t</w:t>
      </w:r>
      <w:r w:rsidR="006B5236">
        <w:rPr>
          <w:color w:val="FF0000"/>
        </w:rPr>
        <w:t xml:space="preserve">he PowerPoint presentation is </w:t>
      </w:r>
      <w:r w:rsidR="00680CC0">
        <w:rPr>
          <w:color w:val="FF0000"/>
        </w:rPr>
        <w:t>a</w:t>
      </w:r>
      <w:r w:rsidR="006B5236">
        <w:rPr>
          <w:color w:val="FF0000"/>
        </w:rPr>
        <w:t xml:space="preserve"> </w:t>
      </w:r>
      <w:r w:rsidR="00680CC0">
        <w:rPr>
          <w:color w:val="FF0000"/>
        </w:rPr>
        <w:t>necessary expectation/element</w:t>
      </w:r>
      <w:r w:rsidR="006B5236">
        <w:rPr>
          <w:color w:val="FF0000"/>
        </w:rPr>
        <w:t xml:space="preserve"> of the blended learning course</w:t>
      </w:r>
      <w:r w:rsidR="00680CC0">
        <w:rPr>
          <w:color w:val="FF0000"/>
        </w:rPr>
        <w:t xml:space="preserve">/program and reasons this response to be irrelevant. </w:t>
      </w:r>
    </w:p>
    <w:p w:rsidR="00E81BD1" w:rsidRDefault="00A717EE" w:rsidP="00E81BD1">
      <w:pPr>
        <w:pStyle w:val="ListParagraph"/>
        <w:numPr>
          <w:ilvl w:val="0"/>
          <w:numId w:val="1"/>
        </w:numPr>
      </w:pPr>
      <w:r>
        <w:t xml:space="preserve">The OR Specific Basic Preceptor Course recognizes preceptorship as a formal and clearly defined role with organized professional practice guidelines, achievable goals and supports clinical efficiency in the role. </w:t>
      </w:r>
    </w:p>
    <w:p w:rsidR="00975CE2" w:rsidRDefault="00A717EE" w:rsidP="00975CE2">
      <w:pPr>
        <w:pStyle w:val="ListParagraph"/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4983174" cy="1761294"/>
            <wp:effectExtent l="0" t="0" r="27305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6F22" w:rsidRPr="00975CE2" w:rsidRDefault="005B6F22" w:rsidP="00975CE2">
      <w:pPr>
        <w:pStyle w:val="ListParagraph"/>
      </w:pPr>
      <w:r w:rsidRPr="009867DF">
        <w:rPr>
          <w:color w:val="FF0000"/>
        </w:rPr>
        <w:t>Results Analysis:</w:t>
      </w:r>
      <w:r w:rsidR="00680CC0">
        <w:rPr>
          <w:color w:val="FF0000"/>
        </w:rPr>
        <w:t xml:space="preserve"> More then half the learners agree that the preceptor role is formal and clearly defi</w:t>
      </w:r>
      <w:r w:rsidR="000221FE">
        <w:rPr>
          <w:color w:val="FF0000"/>
        </w:rPr>
        <w:t xml:space="preserve">ned throughout the presentation and resources provided to support the preceptor in the OR Specific Basic Preceptor Course. </w:t>
      </w:r>
    </w:p>
    <w:p w:rsidR="00E81BD1" w:rsidRDefault="00E81BD1" w:rsidP="00A717EE">
      <w:pPr>
        <w:pStyle w:val="ListParagraph"/>
      </w:pPr>
    </w:p>
    <w:p w:rsidR="00E81BD1" w:rsidRDefault="00E81BD1" w:rsidP="00E81BD1">
      <w:pPr>
        <w:pStyle w:val="ListParagraph"/>
        <w:numPr>
          <w:ilvl w:val="0"/>
          <w:numId w:val="1"/>
        </w:numPr>
      </w:pPr>
      <w:r>
        <w:t>The OR Specific Basic Preceptor Course has an effective curriculum that includes a clear set of criteria and goals for precepting alongside a defined role description and clinical experience recommendations.</w:t>
      </w:r>
    </w:p>
    <w:p w:rsidR="005B6F22" w:rsidRPr="00975CE2" w:rsidRDefault="00E81BD1" w:rsidP="00975CE2">
      <w:pPr>
        <w:pStyle w:val="ListParagraph"/>
      </w:pPr>
      <w:r>
        <w:rPr>
          <w:noProof/>
        </w:rPr>
        <w:drawing>
          <wp:inline distT="0" distB="0" distL="0" distR="0">
            <wp:extent cx="5431168" cy="1779705"/>
            <wp:effectExtent l="0" t="0" r="17145" b="114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B6F22" w:rsidRPr="009867DF">
        <w:rPr>
          <w:color w:val="FF0000"/>
        </w:rPr>
        <w:t>Results Analysis:</w:t>
      </w:r>
      <w:r w:rsidR="000221FE">
        <w:rPr>
          <w:color w:val="FF0000"/>
        </w:rPr>
        <w:t xml:space="preserve"> More than half of the learners strongly agree that the OR Specific Basic Preceptor Course is an effective program offering an operative curriculum and criteria for the preceptor/preceptor selection in the AIP OR. </w:t>
      </w:r>
    </w:p>
    <w:p w:rsidR="00E81BD1" w:rsidRDefault="00E81BD1" w:rsidP="00E81BD1">
      <w:pPr>
        <w:pStyle w:val="ListParagraph"/>
      </w:pPr>
    </w:p>
    <w:p w:rsidR="00E81BD1" w:rsidRDefault="00E81BD1" w:rsidP="00E81BD1">
      <w:pPr>
        <w:pStyle w:val="ListParagraph"/>
        <w:numPr>
          <w:ilvl w:val="0"/>
          <w:numId w:val="1"/>
        </w:numPr>
      </w:pPr>
      <w:r>
        <w:t xml:space="preserve">The OR Specific Basic Preceptor Course supports standardization of preceptorship through use of current resources to assist in the education and training of novice staff to the OR. </w:t>
      </w:r>
    </w:p>
    <w:p w:rsidR="00E81BD1" w:rsidRDefault="00E81BD1" w:rsidP="00E81BD1">
      <w:pPr>
        <w:pStyle w:val="ListParagraph"/>
      </w:pPr>
      <w:r>
        <w:rPr>
          <w:noProof/>
        </w:rPr>
        <w:drawing>
          <wp:inline distT="0" distB="0" distL="0" distR="0">
            <wp:extent cx="5486400" cy="1810389"/>
            <wp:effectExtent l="0" t="0" r="19050" b="184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1B5" w:rsidRPr="005E7788" w:rsidRDefault="005B6F22" w:rsidP="005E7788">
      <w:pPr>
        <w:ind w:left="720"/>
        <w:rPr>
          <w:color w:val="FF0000"/>
        </w:rPr>
      </w:pPr>
      <w:r w:rsidRPr="009867DF">
        <w:rPr>
          <w:color w:val="FF0000"/>
        </w:rPr>
        <w:lastRenderedPageBreak/>
        <w:t>Results Analysis:</w:t>
      </w:r>
      <w:r w:rsidR="000221FE">
        <w:rPr>
          <w:color w:val="FF0000"/>
        </w:rPr>
        <w:t xml:space="preserve"> More than half of the learners agree that standardization of preceptorship practices is supported and achievable through the resources highlighted throughout the OR Specific Basic </w:t>
      </w:r>
      <w:r w:rsidR="005E7788">
        <w:rPr>
          <w:color w:val="FF0000"/>
        </w:rPr>
        <w:t>Preceptor Course.</w:t>
      </w:r>
    </w:p>
    <w:p w:rsidR="00DC61B5" w:rsidRDefault="00DC61B5" w:rsidP="00DC61B5">
      <w:pPr>
        <w:pStyle w:val="ListParagraph"/>
        <w:numPr>
          <w:ilvl w:val="0"/>
          <w:numId w:val="1"/>
        </w:numPr>
      </w:pPr>
      <w:r>
        <w:t xml:space="preserve">The AIP OR would benefit from the continual offering of the OR Specific Basic Preceptor Course to all staff members that precept. </w:t>
      </w:r>
    </w:p>
    <w:p w:rsidR="00DC61B5" w:rsidRPr="00975CE2" w:rsidRDefault="00E81BD1" w:rsidP="00975CE2">
      <w:pPr>
        <w:pStyle w:val="ListParagraph"/>
      </w:pPr>
      <w:r>
        <w:rPr>
          <w:noProof/>
        </w:rPr>
        <w:drawing>
          <wp:inline distT="0" distB="0" distL="0" distR="0">
            <wp:extent cx="5486400" cy="1583324"/>
            <wp:effectExtent l="0" t="0" r="19050" b="171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B6F22" w:rsidRPr="009867DF">
        <w:rPr>
          <w:color w:val="FF0000"/>
        </w:rPr>
        <w:t>Results Analysis:</w:t>
      </w:r>
      <w:r w:rsidR="000221FE">
        <w:rPr>
          <w:color w:val="FF0000"/>
        </w:rPr>
        <w:t xml:space="preserve"> The entirety of the learners strongly agreed that the AIP OR staff would benefit from continuous offering of the course to all who staff member that </w:t>
      </w:r>
      <w:r w:rsidR="005E7788">
        <w:rPr>
          <w:color w:val="FF0000"/>
        </w:rPr>
        <w:t xml:space="preserve">currently or will precept on the Unit. </w:t>
      </w:r>
    </w:p>
    <w:p w:rsidR="005E7788" w:rsidRDefault="00DC61B5" w:rsidP="005E7788">
      <w:pPr>
        <w:pStyle w:val="ListParagraph"/>
        <w:numPr>
          <w:ilvl w:val="0"/>
          <w:numId w:val="1"/>
        </w:numPr>
      </w:pPr>
      <w:r>
        <w:t>Please share any additional comments/concerns related to the OR Specific Basic Preceptor Course here:</w:t>
      </w:r>
    </w:p>
    <w:p w:rsidR="00687CA6" w:rsidRDefault="00ED69D3" w:rsidP="00ED69D3">
      <w:pPr>
        <w:pStyle w:val="ListParagraph"/>
        <w:numPr>
          <w:ilvl w:val="0"/>
          <w:numId w:val="5"/>
        </w:numPr>
      </w:pPr>
      <w:r>
        <w:t>Organized</w:t>
      </w:r>
    </w:p>
    <w:p w:rsidR="00ED69D3" w:rsidRDefault="00ED69D3" w:rsidP="00ED69D3">
      <w:pPr>
        <w:pStyle w:val="ListParagraph"/>
        <w:numPr>
          <w:ilvl w:val="0"/>
          <w:numId w:val="5"/>
        </w:numPr>
      </w:pPr>
      <w:r>
        <w:t>OR specific</w:t>
      </w:r>
    </w:p>
    <w:p w:rsidR="00ED69D3" w:rsidRDefault="00ED69D3" w:rsidP="00ED69D3">
      <w:pPr>
        <w:pStyle w:val="ListParagraph"/>
        <w:numPr>
          <w:ilvl w:val="0"/>
          <w:numId w:val="5"/>
        </w:numPr>
      </w:pPr>
      <w:r>
        <w:t>Quality</w:t>
      </w:r>
    </w:p>
    <w:p w:rsidR="00ED69D3" w:rsidRDefault="00ED69D3" w:rsidP="00ED69D3">
      <w:pPr>
        <w:pStyle w:val="ListParagraph"/>
        <w:numPr>
          <w:ilvl w:val="0"/>
          <w:numId w:val="5"/>
        </w:numPr>
      </w:pPr>
      <w:r>
        <w:t>Preparedness</w:t>
      </w:r>
    </w:p>
    <w:p w:rsidR="00ED69D3" w:rsidRDefault="00ED69D3" w:rsidP="00ED69D3">
      <w:pPr>
        <w:pStyle w:val="ListParagraph"/>
        <w:numPr>
          <w:ilvl w:val="0"/>
          <w:numId w:val="5"/>
        </w:numPr>
      </w:pPr>
      <w:r>
        <w:t>Consistency</w:t>
      </w:r>
    </w:p>
    <w:p w:rsidR="00DC61B5" w:rsidRDefault="008D20A1" w:rsidP="00855696">
      <w:pPr>
        <w:pStyle w:val="ListParagraph"/>
        <w:numPr>
          <w:ilvl w:val="0"/>
          <w:numId w:val="5"/>
        </w:numPr>
      </w:pPr>
      <w:r>
        <w:t>Continue</w:t>
      </w:r>
    </w:p>
    <w:p w:rsidR="005E7788" w:rsidRPr="005B6F22" w:rsidRDefault="005B6F22" w:rsidP="005B6F22">
      <w:pPr>
        <w:rPr>
          <w:color w:val="FF0000"/>
        </w:rPr>
      </w:pPr>
      <w:r w:rsidRPr="005B6F22">
        <w:rPr>
          <w:color w:val="FF0000"/>
        </w:rPr>
        <w:t>Results Analysis:</w:t>
      </w:r>
      <w:r w:rsidR="005E7788">
        <w:rPr>
          <w:color w:val="FF0000"/>
        </w:rPr>
        <w:t xml:space="preserve"> The </w:t>
      </w:r>
      <w:r w:rsidR="00975CE2">
        <w:rPr>
          <w:color w:val="FF0000"/>
        </w:rPr>
        <w:t>learner’s</w:t>
      </w:r>
      <w:r w:rsidR="005E7788">
        <w:rPr>
          <w:color w:val="FF0000"/>
        </w:rPr>
        <w:t xml:space="preserve"> free text comments recognized positive and effective qualities of the course that support continued offering of the course. </w:t>
      </w:r>
    </w:p>
    <w:p w:rsidR="00D3487B" w:rsidRDefault="00D3487B" w:rsidP="00D3487B">
      <w:pPr>
        <w:jc w:val="center"/>
      </w:pPr>
      <w:r>
        <w:t>Staff Self-Evaluation of Preceptorship Level (Benner’s Theory) Pre-Course &amp; Post Course Assessment Responses:</w:t>
      </w:r>
    </w:p>
    <w:p w:rsidR="005B6F22" w:rsidRPr="00975CE2" w:rsidRDefault="00D3487B" w:rsidP="00D3487B">
      <w:r>
        <w:rPr>
          <w:noProof/>
        </w:rPr>
        <w:drawing>
          <wp:inline distT="0" distB="0" distL="0" distR="0">
            <wp:extent cx="5946668" cy="1251931"/>
            <wp:effectExtent l="0" t="0" r="1651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B6F22" w:rsidRPr="005B6F22">
        <w:rPr>
          <w:color w:val="FF0000"/>
        </w:rPr>
        <w:t>Results Analysis:</w:t>
      </w:r>
      <w:r w:rsidR="005E7788">
        <w:rPr>
          <w:color w:val="FF0000"/>
        </w:rPr>
        <w:t xml:space="preserve"> Pre-course (pre-intervention) self-assessment of current Preceptorship Level based-off the Benner’s Novice to Expert Theory displays that majority of the learners categorized themselves as Proficient Practitioners. The post-course (post-intervention) self-assessments of Preceptorship Level reveal that a single learner’s self-assessment progressed from Competent to Proficient Practitioner. </w:t>
      </w:r>
      <w:r w:rsidR="009F708B">
        <w:rPr>
          <w:color w:val="FF0000"/>
        </w:rPr>
        <w:t xml:space="preserve">This data reveals that the curriculum and course are effective to facilitate a single learner’s advancement in the preceptor role. </w:t>
      </w:r>
    </w:p>
    <w:sectPr w:rsidR="005B6F22" w:rsidRPr="00975CE2" w:rsidSect="00ED69D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559"/>
    <w:multiLevelType w:val="hybridMultilevel"/>
    <w:tmpl w:val="AA28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D3C"/>
    <w:multiLevelType w:val="hybridMultilevel"/>
    <w:tmpl w:val="531CF04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4D130F4A"/>
    <w:multiLevelType w:val="hybridMultilevel"/>
    <w:tmpl w:val="2C54DB64"/>
    <w:lvl w:ilvl="0" w:tplc="2A8E096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182303"/>
    <w:multiLevelType w:val="multilevel"/>
    <w:tmpl w:val="A18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83746"/>
    <w:multiLevelType w:val="hybridMultilevel"/>
    <w:tmpl w:val="B652D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6"/>
    <w:rsid w:val="000221FE"/>
    <w:rsid w:val="0031482B"/>
    <w:rsid w:val="005B6F22"/>
    <w:rsid w:val="005E7788"/>
    <w:rsid w:val="00680CC0"/>
    <w:rsid w:val="00687CA6"/>
    <w:rsid w:val="006B5236"/>
    <w:rsid w:val="00820AD0"/>
    <w:rsid w:val="00855696"/>
    <w:rsid w:val="008D20A1"/>
    <w:rsid w:val="00975CE2"/>
    <w:rsid w:val="009867DF"/>
    <w:rsid w:val="009F708B"/>
    <w:rsid w:val="00A34ACC"/>
    <w:rsid w:val="00A717EE"/>
    <w:rsid w:val="00C4659D"/>
    <w:rsid w:val="00D3487B"/>
    <w:rsid w:val="00DC61B5"/>
    <w:rsid w:val="00E37416"/>
    <w:rsid w:val="00E81BD1"/>
    <w:rsid w:val="00ED69D3"/>
    <w:rsid w:val="00F15BB8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1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673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2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0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00708">
                                                                                  <w:marLeft w:val="1920"/>
                                                                                  <w:marRight w:val="0"/>
                                                                                  <w:marTop w:val="7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7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Active Preceptorship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Active Preceptor 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Sheet1!$A$2:$A$3</c:f>
              <c:strCache>
                <c:ptCount val="2"/>
                <c:pt idx="0">
                  <c:v>Yes 80.00%</c:v>
                </c:pt>
                <c:pt idx="1">
                  <c:v>No 20.00%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 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32384"/>
        <c:axId val="130033920"/>
      </c:barChart>
      <c:catAx>
        <c:axId val="130032384"/>
        <c:scaling>
          <c:orientation val="minMax"/>
        </c:scaling>
        <c:delete val="0"/>
        <c:axPos val="l"/>
        <c:majorTickMark val="out"/>
        <c:minorTickMark val="none"/>
        <c:tickLblPos val="nextTo"/>
        <c:crossAx val="130033920"/>
        <c:crosses val="autoZero"/>
        <c:auto val="1"/>
        <c:lblAlgn val="ctr"/>
        <c:lblOffset val="100"/>
        <c:noMultiLvlLbl val="0"/>
      </c:catAx>
      <c:valAx>
        <c:axId val="13003392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003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88480"/>
        <c:axId val="133590016"/>
      </c:barChart>
      <c:catAx>
        <c:axId val="133588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3590016"/>
        <c:crosses val="autoZero"/>
        <c:auto val="1"/>
        <c:lblAlgn val="ctr"/>
        <c:lblOffset val="100"/>
        <c:noMultiLvlLbl val="0"/>
      </c:catAx>
      <c:valAx>
        <c:axId val="13359001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358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 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 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46592"/>
        <c:axId val="133648384"/>
      </c:barChart>
      <c:catAx>
        <c:axId val="133646592"/>
        <c:scaling>
          <c:orientation val="minMax"/>
        </c:scaling>
        <c:delete val="0"/>
        <c:axPos val="l"/>
        <c:majorTickMark val="out"/>
        <c:minorTickMark val="none"/>
        <c:tickLblPos val="nextTo"/>
        <c:crossAx val="133648384"/>
        <c:crosses val="autoZero"/>
        <c:auto val="1"/>
        <c:lblAlgn val="ctr"/>
        <c:lblOffset val="100"/>
        <c:noMultiLvlLbl val="0"/>
      </c:catAx>
      <c:valAx>
        <c:axId val="13364838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364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59648"/>
        <c:axId val="133669632"/>
      </c:barChart>
      <c:catAx>
        <c:axId val="13365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3669632"/>
        <c:crosses val="autoZero"/>
        <c:auto val="1"/>
        <c:lblAlgn val="ctr"/>
        <c:lblOffset val="100"/>
        <c:noMultiLvlLbl val="0"/>
      </c:catAx>
      <c:valAx>
        <c:axId val="13366963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36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Pre-Course 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Novice </c:v>
                </c:pt>
                <c:pt idx="1">
                  <c:v>Advanced Beginner</c:v>
                </c:pt>
                <c:pt idx="2">
                  <c:v>Competent</c:v>
                </c:pt>
                <c:pt idx="3">
                  <c:v>Proficient Practitioner</c:v>
                </c:pt>
                <c:pt idx="4">
                  <c:v>Expert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Post-Course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Novice </c:v>
                </c:pt>
                <c:pt idx="1">
                  <c:v>Advanced Beginner</c:v>
                </c:pt>
                <c:pt idx="2">
                  <c:v>Competent</c:v>
                </c:pt>
                <c:pt idx="3">
                  <c:v>Proficient Practitioner</c:v>
                </c:pt>
                <c:pt idx="4">
                  <c:v>Expert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53248"/>
        <c:axId val="133654784"/>
      </c:barChart>
      <c:catAx>
        <c:axId val="13365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654784"/>
        <c:crosses val="autoZero"/>
        <c:auto val="1"/>
        <c:lblAlgn val="ctr"/>
        <c:lblOffset val="100"/>
        <c:noMultiLvlLbl val="0"/>
      </c:catAx>
      <c:valAx>
        <c:axId val="1336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5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2015-07-24T22:17:00Z</dcterms:created>
  <dcterms:modified xsi:type="dcterms:W3CDTF">2015-07-24T22:17:00Z</dcterms:modified>
</cp:coreProperties>
</file>